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22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11:10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13:50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P4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3 minuti)</w:t>
      </w:r>
      <w:r w:rsidDel="00000000" w:rsidR="00000000" w:rsidRPr="00000000">
        <w:rPr>
          <w:rtl w:val="0"/>
        </w:rPr>
        <w:t xml:space="preserve">: Controllo dello status dei task attivi, revisione documenti, avvio nuovi task per l’implementazione.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2 minuti): </w:t>
      </w:r>
      <w:r w:rsidDel="00000000" w:rsidR="00000000" w:rsidRPr="00000000">
        <w:rPr>
          <w:rtl w:val="0"/>
        </w:rPr>
        <w:t xml:space="preserve">Attivazione valutazioni personali seconda milestone (SDD &amp; ODD)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“Hardware/Software Mapping”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“Gestione dei Dati Persistenti”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“Design Pattern”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Individuazione di dover poter utilizzare due design pattern,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indicandone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l’obiettivo e come sarebbero implementati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“Packages”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“Class Interfaces”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GC,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questa parte, bisogna solo definire quali saranno i tool che verranno utilizzati per la generazione delle interfacce (es., JavaDoc).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Configurazione ambiente di sviluppo e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iniziale delle componenti utili per il progetto e la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dei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iniziale dei pacchetti di sistema. Rivedere la suddivisione in sottosistemi nel System e Object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Revisione dei documenti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I[4]: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6B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