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OCHeading"/>
      </w:pPr>
      <w:r>
        <w:t xml:space="preserve">Содержание</w:t>
      </w:r>
    </w:p>
    <w:p>
      <w:pPr>
        <w:pStyle w:val="TOC1"/>
      </w:pPr>
      <w:r/>
      <w:r>
        <w:fldChar w:fldCharType="begin"/>
      </w:r>
      <w:r>
        <w:instrText xml:space="preserve"> TOC \o "1-3" \h \z \u </w:instrText>
      </w:r>
      <w:r>
        <w:fldChar w:fldCharType="separate"/>
      </w:r>
      <w:r>
        <w:t xml:space="preserve">1 Общие положения</w:t>
        <w:tab/>
        <w:t xml:space="preserve">2</w:t>
      </w:r>
    </w:p>
    <w:p>
      <w:pPr>
        <w:pStyle w:val="TOC2"/>
      </w:pPr>
      <w:r/>
      <w:r>
        <w:t xml:space="preserve">1.1 Назначение документа</w:t>
        <w:tab/>
        <w:t xml:space="preserve">2</w:t>
      </w:r>
    </w:p>
    <w:p>
      <w:pPr>
        <w:pStyle w:val="TOC2"/>
      </w:pPr>
      <w:r/>
      <w:r>
        <w:t xml:space="preserve">1.2 Исходные данные</w:t>
        <w:tab/>
        <w:t xml:space="preserve">2</w:t>
      </w:r>
    </w:p>
    <w:p>
      <w:pPr>
        <w:pStyle w:val="TOC1"/>
      </w:pPr>
      <w:r/>
      <w:r>
        <w:t xml:space="preserve">2 Основные решения</w:t>
        <w:tab/>
        <w:t xml:space="preserve">3</w:t>
      </w:r>
    </w:p>
    <w:p>
      <w:pPr>
        <w:pStyle w:val="TOC2"/>
      </w:pPr>
      <w:r/>
      <w:r>
        <w:t xml:space="preserve">2.1 Показатели</w:t>
        <w:tab/>
        <w:t xml:space="preserve">3</w:t>
      </w:r>
    </w:p>
    <w:p>
      <w:pPr>
        <w:pStyle w:val="TOC3"/>
      </w:pPr>
      <w:r/>
      <w:r>
        <w:t xml:space="preserve">2.1.1 Сводные показатели</w:t>
        <w:tab/>
        <w:t xml:space="preserve">3</w:t>
      </w:r>
    </w:p>
    <w:p>
      <w:pPr>
        <w:pStyle w:val="TOC1"/>
      </w:pPr>
      <w:r/>
      <w:r>
        <w:t xml:space="preserve">Приложение 1 Перечень исходных материалов</w:t>
        <w:tab/>
        <w:t xml:space="preserve">4</w:t>
      </w:r>
      <w:r>
        <w:fldChar w:fldCharType="end"/>
      </w:r>
    </w:p>
    <w:p>
      <w:pPr>
        <w:pStyle w:val="Heading1"/>
      </w:pPr>
      <w:r>
        <w:t xml:space="preserve">Общие положения</w:t>
      </w:r>
    </w:p>
    <w:p>
      <w:pPr>
        <w:pStyle w:val="Heading2"/>
      </w:pPr>
      <w:r>
        <w:t xml:space="preserve">Назначение документа</w:t>
      </w:r>
    </w:p>
    <w:p>
      <w:pPr>
        <w:pStyle w:val="Abzac"/>
      </w:pPr>
      <w:r>
        <w:t xml:space="preserve">Образец показывает стили оформления записки. Текст условный: важны шрифт, отступы, интервалы и нумерация, а не содержание.</w:t>
      </w:r>
    </w:p>
    <w:p>
      <w:pPr>
        <w:pStyle w:val="Abzac"/>
      </w:pPr>
      <w:r>
        <w:t xml:space="preserve">Основной текст набирается стилем «Абзац». Отступ первой строки, выравнивание по ширине и интервал после абзаца заданы в стиле, вручную их ставить не нужно.</w:t>
      </w:r>
    </w:p>
    <w:p>
      <w:pPr>
        <w:pStyle w:val="Abzac"/>
      </w:pPr>
      <w:r>
        <w:t xml:space="preserve">Записка включает:</w:t>
      </w:r>
    </w:p>
    <w:p>
      <w:pPr>
        <w:pStyle w:val="ListBullet"/>
      </w:pPr>
      <w:r>
        <w:t xml:space="preserve">исходные данные;</w:t>
      </w:r>
    </w:p>
    <w:p>
      <w:pPr>
        <w:pStyle w:val="ListBullet"/>
      </w:pPr>
      <w:r>
        <w:t xml:space="preserve">расчётные показатели;</w:t>
      </w:r>
    </w:p>
    <w:p>
      <w:pPr>
        <w:pStyle w:val="ListBullet"/>
      </w:pPr>
      <w:r>
        <w:t xml:space="preserve">выводы и предложения.</w:t>
      </w:r>
    </w:p>
    <w:p>
      <w:pPr>
        <w:pStyle w:val="Abzac"/>
      </w:pPr>
      <w:r>
        <w:t xml:space="preserve">Работа выполняется в три этапа:</w:t>
      </w:r>
    </w:p>
    <w:p>
      <w:pPr>
        <w:pStyle w:val="ListNumber"/>
      </w:pPr>
      <w:r>
        <w:t xml:space="preserve">сбор исходных данных;</w:t>
      </w:r>
    </w:p>
    <w:p>
      <w:pPr>
        <w:pStyle w:val="ListNumber"/>
      </w:pPr>
      <w:r>
        <w:t xml:space="preserve">расчёт показателей;</w:t>
      </w:r>
    </w:p>
    <w:p>
      <w:pPr>
        <w:pStyle w:val="ListNumber"/>
      </w:pPr>
      <w:r>
        <w:t xml:space="preserve">подготовка выводов.</w:t>
      </w:r>
    </w:p>
    <w:p>
      <w:pPr>
        <w:pStyle w:val="Abzac"/>
      </w:pPr>
      <w:r>
        <w:t xml:space="preserve">Если на элемент перечисления есть ссылка в тексте, вместо цифр ставят буквы:</w:t>
      </w:r>
    </w:p>
    <w:p>
      <w:pPr>
        <w:pStyle w:val="ListNumber2"/>
      </w:pPr>
      <w:r>
        <w:t xml:space="preserve">первый вариант размещения;</w:t>
      </w:r>
    </w:p>
    <w:p>
      <w:pPr>
        <w:pStyle w:val="ListNumber2"/>
      </w:pPr>
      <w:r>
        <w:t xml:space="preserve">второй вариант размещения.</w:t>
      </w:r>
    </w:p>
    <w:p>
      <w:pPr>
        <w:pStyle w:val="Heading2"/>
      </w:pPr>
      <w:r>
        <w:t xml:space="preserve">Исходные данные</w:t>
      </w:r>
    </w:p>
    <w:p>
      <w:pPr>
        <w:pStyle w:val="Abzac"/>
      </w:pPr>
      <w:r>
        <w:t xml:space="preserve">Основные показатели приведены в таблице 1.</w:t>
      </w:r>
    </w:p>
    <w:p>
      <w:pPr>
        <w:pStyle w:val="NazvanieTablicy"/>
      </w:pPr>
      <w:r>
        <w:t xml:space="preserve">Таблица 1 – Основные показатели</w:t>
      </w:r>
    </w:p>
    <w:tbl>
      <w:tblPr>
        <w:tblStyle w:val="TableGrid"/>
        <w:tblW w:w="9920" w:type="dxa"/>
        <w:tblLayout w:type="fixed"/>
      </w:tblPr>
      <w:tblGrid>
        <w:gridCol w:w="992"/>
        <w:gridCol w:w="4960"/>
        <w:gridCol w:w="1984"/>
        <w:gridCol w:w="1984"/>
      </w:tblGrid>
      <w:tr>
        <w:trPr>
          <w:tblHeader/>
        </w:trPr>
        <w:tc>
          <w:tcPr>
            <w:tcW w:w="992" w:type="dxa"/>
          </w:tcPr>
          <w:p>
            <w:pPr>
              <w:pStyle w:val="TablichnyjZagolovki"/>
            </w:pPr>
            <w:r>
              <w:t xml:space="preserve">№ п/п</w:t>
            </w:r>
          </w:p>
        </w:tc>
        <w:tc>
          <w:tcPr>
            <w:tcW w:w="4960" w:type="dxa"/>
          </w:tcPr>
          <w:p>
            <w:pPr>
              <w:pStyle w:val="TablichnyjZagolovki"/>
            </w:pPr>
            <w:r>
              <w:t xml:space="preserve">Показатель</w:t>
            </w:r>
          </w:p>
        </w:tc>
        <w:tc>
          <w:tcPr>
            <w:tcW w:w="1984" w:type="dxa"/>
          </w:tcPr>
          <w:p>
            <w:pPr>
              <w:pStyle w:val="TablichnyjZagolovki"/>
            </w:pPr>
            <w:r>
              <w:t xml:space="preserve">Единица измерения</w:t>
            </w:r>
          </w:p>
        </w:tc>
        <w:tc>
          <w:tcPr>
            <w:tcW w:w="1984" w:type="dxa"/>
          </w:tcPr>
          <w:p>
            <w:pPr>
              <w:pStyle w:val="TablichnyjZagolovki"/>
            </w:pPr>
            <w:r>
              <w:t xml:space="preserve">Значение</w:t>
            </w:r>
          </w:p>
        </w:tc>
      </w:tr>
      <w:tr>
        <w:tc>
          <w:tcPr>
            <w:tcW w:w="992" w:type="dxa"/>
          </w:tcPr>
          <w:p>
            <w:pPr>
              <w:pStyle w:val="TablichnyjCentr"/>
            </w:pPr>
            <w:r>
              <w:t xml:space="preserve">1</w:t>
            </w:r>
          </w:p>
        </w:tc>
        <w:tc>
          <w:tcPr>
            <w:tcW w:w="4960" w:type="dxa"/>
          </w:tcPr>
          <w:p>
            <w:pPr>
              <w:pStyle w:val="TablichnyjSleva"/>
            </w:pPr>
            <w:r>
              <w:t xml:space="preserve">Площадь территории</w:t>
            </w:r>
          </w:p>
        </w:tc>
        <w:tc>
          <w:tcPr>
            <w:tcW w:w="1984" w:type="dxa"/>
          </w:tcPr>
          <w:p>
            <w:pPr>
              <w:pStyle w:val="TablichnyjCentr"/>
            </w:pPr>
            <w:r>
              <w:t xml:space="preserve">га</w:t>
            </w:r>
          </w:p>
        </w:tc>
        <w:tc>
          <w:tcPr>
            <w:tcW w:w="1984" w:type="dxa"/>
          </w:tcPr>
          <w:p>
            <w:pPr>
              <w:pStyle w:val="TablichnyjCentr"/>
            </w:pPr>
            <w:r>
              <w:t xml:space="preserve">125,4</w:t>
            </w:r>
          </w:p>
        </w:tc>
      </w:tr>
      <w:tr>
        <w:tc>
          <w:tcPr>
            <w:tcW w:w="992" w:type="dxa"/>
          </w:tcPr>
          <w:p>
            <w:pPr>
              <w:pStyle w:val="TablichnyjCentr"/>
            </w:pPr>
            <w:r>
              <w:t xml:space="preserve">2</w:t>
            </w:r>
          </w:p>
        </w:tc>
        <w:tc>
          <w:tcPr>
            <w:tcW w:w="4960" w:type="dxa"/>
          </w:tcPr>
          <w:p>
            <w:pPr>
              <w:pStyle w:val="TablichnyjSleva"/>
            </w:pPr>
            <w:r>
              <w:t xml:space="preserve">Численность населения</w:t>
            </w:r>
          </w:p>
        </w:tc>
        <w:tc>
          <w:tcPr>
            <w:tcW w:w="1984" w:type="dxa"/>
          </w:tcPr>
          <w:p>
            <w:pPr>
              <w:pStyle w:val="TablichnyjCentr"/>
            </w:pPr>
            <w:r>
              <w:t xml:space="preserve">тыс. чел.</w:t>
            </w:r>
          </w:p>
        </w:tc>
        <w:tc>
          <w:tcPr>
            <w:tcW w:w="1984" w:type="dxa"/>
          </w:tcPr>
          <w:p>
            <w:pPr>
              <w:pStyle w:val="TablichnyjCentr"/>
            </w:pPr>
            <w:r>
              <w:t xml:space="preserve">12,8</w:t>
            </w:r>
          </w:p>
        </w:tc>
      </w:tr>
      <w:tr>
        <w:tc>
          <w:tcPr>
            <w:tcW w:w="992" w:type="dxa"/>
          </w:tcPr>
          <w:p>
            <w:pPr>
              <w:pStyle w:val="TablichnyjCentr"/>
            </w:pPr>
            <w:r>
              <w:t xml:space="preserve">3</w:t>
            </w:r>
          </w:p>
        </w:tc>
        <w:tc>
          <w:tcPr>
            <w:tcW w:w="4960" w:type="dxa"/>
          </w:tcPr>
          <w:p>
            <w:pPr>
              <w:pStyle w:val="TablichnyjSleva"/>
            </w:pPr>
            <w:r>
              <w:t xml:space="preserve">Протяжённость улично-дорожной сети</w:t>
            </w:r>
          </w:p>
        </w:tc>
        <w:tc>
          <w:tcPr>
            <w:tcW w:w="1984" w:type="dxa"/>
          </w:tcPr>
          <w:p>
            <w:pPr>
              <w:pStyle w:val="TablichnyjCentr"/>
            </w:pPr>
            <w:r>
              <w:t xml:space="preserve">км</w:t>
            </w:r>
          </w:p>
        </w:tc>
        <w:tc>
          <w:tcPr>
            <w:tcW w:w="1984" w:type="dxa"/>
          </w:tcPr>
          <w:p>
            <w:pPr>
              <w:pStyle w:val="TablichnyjCentr"/>
            </w:pPr>
            <w:r>
              <w:t xml:space="preserve">46,2</w:t>
            </w:r>
          </w:p>
        </w:tc>
      </w:tr>
    </w:tbl>
    <w:p>
      <w:pPr>
        <w:pStyle w:val="Abzac"/>
      </w:pPr>
      <w:r/>
    </w:p>
    <w:p>
      <w:pPr>
        <w:pStyle w:val="Heading1"/>
      </w:pPr>
      <w:r>
        <w:t xml:space="preserve">Основные решения</w:t>
      </w:r>
    </w:p>
    <w:p>
      <w:pPr>
        <w:pStyle w:val="Heading2"/>
      </w:pPr>
      <w:r>
        <w:t xml:space="preserve">Показатели</w:t>
      </w:r>
    </w:p>
    <w:p>
      <w:pPr>
        <w:pStyle w:val="Heading3"/>
      </w:pPr>
      <w:r>
        <w:t xml:space="preserve">Сводные показатели</w:t>
      </w:r>
    </w:p>
    <w:p>
      <w:pPr>
        <w:pStyle w:val="Abzac"/>
      </w:pPr>
      <w:r>
        <w:t xml:space="preserve">Сводные показатели собираются по разделам записки и сверяются с исходными данными.</w:t>
      </w:r>
    </w:p>
    <w:p>
      <w:pPr>
        <w:pStyle w:val="Heading4"/>
      </w:pPr>
      <w:r>
        <w:t xml:space="preserve">Уточнение показателей</w:t>
      </w:r>
    </w:p>
    <w:p>
      <w:pPr>
        <w:pStyle w:val="Abzac"/>
      </w:pPr>
      <w:r>
        <w:t xml:space="preserve">Схема размещения объектов показана на рисунке 1.</w:t>
      </w:r>
    </w:p>
    <w:p>
      <w:pPr>
        <w:pStyle w:val="Risunok"/>
      </w:pPr>
      <w:r>
        <w:t xml:space="preserve">[ место для рисунка ]</w:t>
      </w:r>
    </w:p>
    <w:p>
      <w:pPr>
        <w:pStyle w:val="Caption"/>
      </w:pPr>
      <w:r>
        <w:t xml:space="preserve">Рисунок 1 – Схема размещения объектов</w:t>
      </w:r>
    </w:p>
    <w:p>
      <w:pPr>
        <w:pStyle w:val="Abzac"/>
      </w:pPr>
      <w:r>
        <w:t xml:space="preserve">Порядок уточнения показателей описан в </w:t>
      </w:r>
      <w:r>
        <w:rPr>
          <w:rStyle w:val="Hyperlink"/>
        </w:rPr>
        <w:t xml:space="preserve">разделе 1</w:t>
      </w:r>
      <w:r>
        <w:t xml:space="preserve">.</w:t>
      </w:r>
    </w:p>
    <w:p>
      <w:pPr>
        <w:pStyle w:val="ZagolovokPrilozhenija"/>
      </w:pPr>
      <w:r>
        <w:t xml:space="preserve">ПРИЛОЖЕНИЕ 1</w:t>
      </w:r>
      <w:r>
        <w:br/>
        <w:t xml:space="preserve">Перечень исходных материалов</w:t>
      </w:r>
    </w:p>
    <w:p>
      <w:pPr>
        <w:pStyle w:val="Abzac"/>
      </w:pPr>
      <w:r>
        <w:t xml:space="preserve">Перечень составляется по мере поступления материалов.</w:t>
      </w:r>
    </w:p>
    <w:sectPr>
      <w:footerReference w:type="default" r:id="rIdFooter1"/>
      <w:pgSz w:w="11906" w:h="16838"/>
      <w:pgMar w:top="1134" w:right="850" w:bottom="1134" w:left="1134" w:header="709" w:footer="709" w:gutter="0"/>
      <w:cols w:space="708"/>
      <w:titlePg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 xml:space="preserve">1</w:t>
    </w:r>
    <w:r>
      <w:rPr>
        <w:rStyle w:val="PageNumber"/>
      </w:rPr>
      <w:fldChar w:fldCharType="end"/>
    </w:r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multilevel"/>
    <w:lvl w:ilvl="0">
      <w:start w:val="1"/>
      <w:numFmt w:val="decimal"/>
      <w:pStyle w:val="Heading1"/>
      <w:suff w:val="space"/>
      <w:lvlText w:val="%1"/>
      <w:lvlJc w:val="left"/>
      <w:pPr>
        <w:ind w:left="0" w:firstLine="709"/>
      </w:p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709"/>
      </w:p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709"/>
      </w:p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709"/>
      </w:pPr>
    </w:lvl>
    <w:lvl w:ilvl="4">
      <w:start w:val="1"/>
      <w:numFmt w:val="decimal"/>
      <w:suff w:val="space"/>
      <w:lvlText w:val="%1.%2.%3.%4.%5"/>
      <w:lvlJc w:val="left"/>
      <w:pPr>
        <w:ind w:left="0" w:firstLine="709"/>
      </w:pPr>
    </w:lvl>
    <w:lvl w:ilvl="5">
      <w:start w:val="1"/>
      <w:numFmt w:val="decimal"/>
      <w:suff w:val="space"/>
      <w:lvlText w:val="%1.%2.%3.%4.%5.%6"/>
      <w:lvlJc w:val="left"/>
      <w:pPr>
        <w:ind w:left="0" w:firstLine="709"/>
      </w:pPr>
    </w:lvl>
    <w:lvl w:ilvl="6">
      <w:start w:val="1"/>
      <w:numFmt w:val="decimal"/>
      <w:suff w:val="space"/>
      <w:lvlText w:val="%1.%2.%3.%4.%5.%6.%7"/>
      <w:lvlJc w:val="left"/>
      <w:pPr>
        <w:ind w:left="0" w:firstLine="709"/>
      </w:pPr>
    </w:lvl>
    <w:lvl w:ilvl="7">
      <w:start w:val="1"/>
      <w:numFmt w:val="decimal"/>
      <w:suff w:val="space"/>
      <w:lvlText w:val="%1.%2.%3.%4.%5.%6.%7.%8"/>
      <w:lvlJc w:val="left"/>
      <w:pPr>
        <w:ind w:left="0" w:firstLine="709"/>
      </w:pPr>
    </w:lvl>
    <w:lvl w:ilvl="8">
      <w:start w:val="1"/>
      <w:numFmt w:val="decimal"/>
      <w:suff w:val="space"/>
      <w:lvlText w:val="%1.%2.%3.%4.%5.%6.%7.%8.%9"/>
      <w:lvlJc w:val="left"/>
      <w:pPr>
        <w:ind w:left="0" w:firstLine="709"/>
      </w:pPr>
    </w:lvl>
  </w:abstractNum>
  <w:abstractNum w:abstractNumId="1">
    <w:multiLevelType w:val="singleLevel"/>
    <w:lvl w:ilvl="0">
      <w:start w:val="1"/>
      <w:numFmt w:val="bullet"/>
      <w:pStyle w:val="ListBullet"/>
      <w:suff w:val="space"/>
      <w:lvlText w:val="–"/>
      <w:lvlJc w:val="left"/>
      <w:pPr>
        <w:ind w:left="0" w:firstLine="709"/>
      </w:pPr>
      <w:rPr>
        <w:rFonts w:ascii="Tahoma" w:hAnsi="Tahoma" w:cs="Tahoma" w:hint="default"/>
      </w:rPr>
    </w:lvl>
  </w:abstractNum>
  <w:abstractNum w:abstractNumId="2">
    <w:multiLevelType w:val="singleLevel"/>
    <w:lvl w:ilvl="0">
      <w:start w:val="1"/>
      <w:numFmt w:val="decimal"/>
      <w:pStyle w:val="ListNumber"/>
      <w:suff w:val="space"/>
      <w:lvlText w:val="%1)"/>
      <w:lvlJc w:val="left"/>
      <w:pPr>
        <w:ind w:left="0" w:firstLine="709"/>
      </w:pPr>
    </w:lvl>
  </w:abstractNum>
  <w:abstractNum w:abstractNumId="3">
    <w:multiLevelType w:val="singleLevel"/>
    <w:lvl w:ilvl="0">
      <w:start w:val="1"/>
      <w:numFmt w:val="russianLower"/>
      <w:pStyle w:val="ListNumber2"/>
      <w:suff w:val="space"/>
      <w:lvlText w:val="%1)"/>
      <w:lvlJc w:val="left"/>
      <w:pPr>
        <w:ind w:left="0" w:firstLine="709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/>
  <w:decimalSymbol w:val=","/>
  <w:listSeparator w:val=";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ahoma" w:hAnsi="Tahoma" w:cs="Tahoma" w:eastAsia="Tahoma"/>
        <w:sz w:val="24"/>
        <w:szCs w:val="24"/>
        <w:lang w:val="ru-RU" w:eastAsia="ru-RU" w:bidi="ar-SA"/>
      </w:rPr>
    </w:rPrDefault>
    <w:pPrDefault>
      <w:pPr>
        <w:spacing w:after="0" w:line="240" w:lineRule="auto"/>
      </w:pPr>
    </w:pPrDefault>
  </w:docDefaults>
  <w:latentStyles w:defLockedState="0" w:defUIPriority="99" w:defSemiHidden="1" w:defUnhideWhenUsed="1" w:defQFormat="0" w:count="376"/>
  <w:style w:type="paragraph" w:default="1" w:styleId="Normal">
    <w:name w:val="Normal"/>
    <w:uiPriority w:val="1"/>
    <w:qFormat/>
    <w:pPr>
      <w:spacing w:before="0" w:after="0" w:line="240" w:lineRule="auto"/>
      <w:jc w:val="left"/>
    </w:pPr>
    <w:rPr>
      <w:rFonts w:ascii="Tahoma" w:hAnsi="Tahoma" w:cs="Tahoma" w:eastAsia="Tahoma"/>
      <w:color w:val="auto"/>
      <w:sz w:val="24"/>
      <w:szCs w:val="24"/>
    </w:rPr>
  </w:style>
  <w:style w:type="paragraph" w:customStyle="1" w:styleId="Abzac">
    <w:name w:val="Абзац"/>
    <w:basedOn w:val="Normal"/>
    <w:uiPriority w:val="2"/>
    <w:qFormat/>
    <w:pPr>
      <w:spacing w:before="0" w:after="120"/>
      <w:ind w:firstLine="709"/>
      <w:jc w:val="both"/>
    </w:pPr>
  </w:style>
  <w:style w:type="paragraph" w:styleId="Heading1">
    <w:name w:val="heading 1"/>
    <w:basedOn w:val="Normal"/>
    <w:next w:val="Abzac"/>
    <w:uiPriority w:val="3"/>
    <w:qFormat/>
    <w:pPr>
      <w:keepNext/>
      <w:pageBreakBefore/>
      <w:numPr>
        <w:ilvl w:val="0"/>
        <w:numId w:val="1"/>
      </w:numPr>
      <w:suppressAutoHyphens/>
      <w:spacing w:before="0" w:after="240"/>
      <w:ind w:firstLine="709"/>
      <w:jc w:val="left"/>
      <w:outlineLvl w:val="0"/>
    </w:pPr>
    <w:rPr>
      <w:b/>
      <w:bCs/>
      <w:caps/>
      <w:sz w:val="28"/>
      <w:szCs w:val="28"/>
    </w:rPr>
  </w:style>
  <w:style w:type="paragraph" w:styleId="Heading2">
    <w:name w:val="heading 2"/>
    <w:basedOn w:val="Heading1"/>
    <w:next w:val="Abzac"/>
    <w:uiPriority w:val="4"/>
    <w:qFormat/>
    <w:pPr>
      <w:pageBreakBefore w:val="0"/>
      <w:numPr>
        <w:ilvl w:val="1"/>
        <w:numId w:val="1"/>
      </w:numPr>
      <w:spacing w:before="240" w:after="120"/>
      <w:outlineLvl w:val="1"/>
    </w:pPr>
    <w:rPr>
      <w:caps w:val="0"/>
      <w:sz w:val="26"/>
      <w:szCs w:val="26"/>
    </w:rPr>
  </w:style>
  <w:style w:type="paragraph" w:styleId="Heading3">
    <w:name w:val="heading 3"/>
    <w:basedOn w:val="Heading1"/>
    <w:next w:val="Abzac"/>
    <w:uiPriority w:val="5"/>
    <w:qFormat/>
    <w:pPr>
      <w:pageBreakBefore w:val="0"/>
      <w:numPr>
        <w:ilvl w:val="2"/>
        <w:numId w:val="1"/>
      </w:numPr>
      <w:spacing w:before="240" w:after="120"/>
      <w:outlineLvl w:val="2"/>
    </w:pPr>
    <w:rPr>
      <w:caps w:val="0"/>
      <w:sz w:val="24"/>
      <w:szCs w:val="24"/>
    </w:rPr>
  </w:style>
  <w:style w:type="paragraph" w:styleId="Heading4">
    <w:name w:val="heading 4"/>
    <w:basedOn w:val="Heading3"/>
    <w:next w:val="Abzac"/>
    <w:uiPriority w:val="6"/>
    <w:qFormat/>
    <w:pPr>
      <w:numPr>
        <w:ilvl w:val="3"/>
        <w:numId w:val="1"/>
      </w:numPr>
      <w:spacing w:before="120"/>
      <w:outlineLvl w:val="3"/>
    </w:pPr>
    <w:rPr>
      <w:i/>
      <w:iCs/>
    </w:rPr>
  </w:style>
  <w:style w:type="paragraph" w:customStyle="1" w:styleId="ZagolovokPrilozhenija">
    <w:name w:val="Заголовок приложения"/>
    <w:basedOn w:val="Normal"/>
    <w:next w:val="Abzac"/>
    <w:uiPriority w:val="7"/>
    <w:qFormat/>
    <w:pPr>
      <w:keepNext/>
      <w:pageBreakBefore/>
      <w:spacing w:before="0" w:after="240"/>
      <w:ind w:firstLine="0"/>
      <w:jc w:val="center"/>
      <w:outlineLvl w:val="0"/>
    </w:pPr>
    <w:rPr>
      <w:b/>
      <w:bCs/>
      <w:sz w:val="28"/>
      <w:szCs w:val="28"/>
    </w:rPr>
  </w:style>
  <w:style w:type="paragraph" w:customStyle="1" w:styleId="NazvanieTablicy">
    <w:name w:val="Название таблицы"/>
    <w:basedOn w:val="Normal"/>
    <w:next w:val="Abzac"/>
    <w:uiPriority w:val="8"/>
    <w:qFormat/>
    <w:pPr>
      <w:keepNext/>
      <w:spacing w:before="120" w:after="60"/>
      <w:ind w:firstLine="0"/>
      <w:jc w:val="left"/>
    </w:pPr>
  </w:style>
  <w:style w:type="paragraph" w:customStyle="1" w:styleId="TablichnyjZagolovki">
    <w:name w:val="Табличный_заголовки"/>
    <w:basedOn w:val="Normal"/>
    <w:uiPriority w:val="9"/>
    <w:qFormat/>
    <w:pPr>
      <w:keepNext/>
      <w:keepLines/>
      <w:jc w:val="center"/>
    </w:pPr>
    <w:rPr>
      <w:sz w:val="20"/>
      <w:szCs w:val="20"/>
    </w:rPr>
  </w:style>
  <w:style w:type="paragraph" w:customStyle="1" w:styleId="TablichnyjCentr">
    <w:name w:val="Табличный_центр"/>
    <w:basedOn w:val="Normal"/>
    <w:uiPriority w:val="10"/>
    <w:qFormat/>
    <w:pPr>
      <w:jc w:val="center"/>
    </w:pPr>
    <w:rPr>
      <w:sz w:val="20"/>
      <w:szCs w:val="20"/>
    </w:rPr>
  </w:style>
  <w:style w:type="paragraph" w:customStyle="1" w:styleId="TablichnyjSleva">
    <w:name w:val="Табличный_слева"/>
    <w:basedOn w:val="TablichnyjCentr"/>
    <w:uiPriority w:val="11"/>
    <w:qFormat/>
    <w:pPr>
      <w:jc w:val="left"/>
    </w:pPr>
  </w:style>
  <w:style w:type="paragraph" w:styleId="Caption">
    <w:name w:val="caption"/>
    <w:basedOn w:val="Normal"/>
    <w:next w:val="Abzac"/>
    <w:uiPriority w:val="12"/>
    <w:qFormat/>
    <w:pPr>
      <w:keepLines/>
      <w:spacing w:before="60" w:after="240"/>
      <w:ind w:firstLine="0"/>
      <w:jc w:val="center"/>
    </w:pPr>
  </w:style>
  <w:style w:type="paragraph" w:customStyle="1" w:styleId="Risunok">
    <w:name w:val="Рисунок"/>
    <w:basedOn w:val="Normal"/>
    <w:next w:val="Caption"/>
    <w:uiPriority w:val="13"/>
    <w:qFormat/>
    <w:pPr>
      <w:keepNext/>
      <w:spacing w:before="120" w:after="60"/>
      <w:ind w:firstLine="0"/>
      <w:jc w:val="center"/>
    </w:pPr>
  </w:style>
  <w:style w:type="paragraph" w:styleId="ListBullet">
    <w:name w:val="List Bullet"/>
    <w:basedOn w:val="Abzac"/>
    <w:uiPriority w:val="14"/>
    <w:qFormat/>
    <w:pPr>
      <w:numPr>
        <w:ilvl w:val="0"/>
        <w:numId w:val="2"/>
      </w:numPr>
      <w:spacing w:after="60"/>
    </w:pPr>
  </w:style>
  <w:style w:type="paragraph" w:styleId="ListNumber">
    <w:name w:val="List Number"/>
    <w:basedOn w:val="Abzac"/>
    <w:uiPriority w:val="15"/>
    <w:qFormat/>
    <w:pPr>
      <w:numPr>
        <w:ilvl w:val="0"/>
        <w:numId w:val="3"/>
      </w:numPr>
      <w:spacing w:after="60"/>
    </w:pPr>
  </w:style>
  <w:style w:type="paragraph" w:styleId="ListNumber2">
    <w:name w:val="List Number 2"/>
    <w:basedOn w:val="Abzac"/>
    <w:uiPriority w:val="16"/>
    <w:qFormat/>
    <w:pPr>
      <w:numPr>
        <w:ilvl w:val="0"/>
        <w:numId w:val="4"/>
      </w:numPr>
      <w:spacing w:after="60"/>
    </w:pPr>
  </w:style>
  <w:style w:type="paragraph" w:styleId="ListParagraph">
    <w:name w:val="List Paragraph"/>
    <w:basedOn w:val="Abzac"/>
    <w:uiPriority w:val="17"/>
    <w:pPr>
      <w:spacing w:after="60"/>
    </w:pPr>
  </w:style>
  <w:style w:type="paragraph" w:styleId="TOCHeading">
    <w:name w:val="TOC Heading"/>
    <w:basedOn w:val="Normal"/>
    <w:next w:val="TOC1"/>
    <w:uiPriority w:val="18"/>
    <w:pPr>
      <w:keepNext/>
      <w:spacing w:after="240"/>
      <w:ind w:firstLine="0"/>
      <w:jc w:val="center"/>
    </w:pPr>
    <w:rPr>
      <w:b/>
      <w:bCs/>
      <w:caps/>
      <w:sz w:val="28"/>
      <w:szCs w:val="28"/>
    </w:rPr>
  </w:style>
  <w:style w:type="paragraph" w:styleId="TOC1">
    <w:name w:val="toc 1"/>
    <w:basedOn w:val="Normal"/>
    <w:next w:val="Abzac"/>
    <w:uiPriority w:val="19"/>
    <w:pPr>
      <w:tabs>
        <w:tab w:val="right" w:pos="9921" w:leader="dot"/>
      </w:tabs>
      <w:spacing w:before="60" w:after="60"/>
      <w:jc w:val="left"/>
    </w:pPr>
    <w:rPr>
      <w:caps/>
    </w:rPr>
  </w:style>
  <w:style w:type="paragraph" w:styleId="TOC2">
    <w:name w:val="toc 2"/>
    <w:basedOn w:val="TOC1"/>
    <w:uiPriority w:val="20"/>
    <w:pPr>
      <w:ind w:left="283"/>
    </w:pPr>
    <w:rPr>
      <w:caps w:val="0"/>
    </w:rPr>
  </w:style>
  <w:style w:type="paragraph" w:styleId="TOC3">
    <w:name w:val="toc 3"/>
    <w:basedOn w:val="TOC2"/>
    <w:uiPriority w:val="21"/>
    <w:pPr>
      <w:ind w:left="567"/>
    </w:pPr>
  </w:style>
  <w:style w:type="paragraph" w:styleId="Header">
    <w:name w:val="header"/>
    <w:basedOn w:val="Normal"/>
    <w:uiPriority w:val="22"/>
    <w:pPr>
      <w:tabs>
        <w:tab w:val="center" w:pos="4961"/>
        <w:tab w:val="right" w:pos="9921"/>
      </w:tabs>
    </w:pPr>
    <w:rPr>
      <w:sz w:val="20"/>
      <w:szCs w:val="20"/>
    </w:rPr>
  </w:style>
  <w:style w:type="paragraph" w:styleId="Footer">
    <w:name w:val="footer"/>
    <w:basedOn w:val="Normal"/>
    <w:uiPriority w:val="23"/>
    <w:pPr>
      <w:tabs>
        <w:tab w:val="center" w:pos="4961"/>
        <w:tab w:val="right" w:pos="9921"/>
      </w:tabs>
      <w:jc w:val="right"/>
    </w:pPr>
    <w:rPr>
      <w:sz w:val="20"/>
      <w:szCs w:val="20"/>
    </w:rPr>
  </w:style>
  <w:style w:type="paragraph" w:styleId="FootnoteText">
    <w:name w:val="footnote text"/>
    <w:basedOn w:val="Normal"/>
    <w:uiPriority w:val="24"/>
    <w:rPr>
      <w:sz w:val="20"/>
      <w:szCs w:val="20"/>
    </w:rPr>
  </w:style>
  <w:style w:type="character" w:styleId="FootnoteReference">
    <w:name w:val="footnote reference"/>
    <w:basedOn w:val="DefaultParagraphFont"/>
    <w:uiPriority w:val="25"/>
    <w:rPr>
      <w:vertAlign w:val="superscript"/>
    </w:rPr>
  </w:style>
  <w:style w:type="character" w:styleId="Hyperlink">
    <w:name w:val="Hyperlink"/>
    <w:basedOn w:val="DefaultParagraphFont"/>
    <w:uiPriority w:val="26"/>
    <w:rPr>
      <w:color w:val="0000FF"/>
      <w:u w:val="single"/>
    </w:rPr>
  </w:style>
  <w:style w:type="character" w:styleId="PageNumber">
    <w:name w:val="page number"/>
    <w:basedOn w:val="DefaultParagraphFont"/>
    <w:uiPriority w:val="27"/>
  </w:style>
  <w:style w:type="table" w:styleId="TableGrid">
    <w:name w:val="Table Grid"/>
    <w:basedOn w:val="TableNormal"/>
    <w:uiPriority w:val="2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Audion DocFlow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Записки</dc:title>
</cp:coreProperties>
</file>