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i w:val="0"/>
          <w:color w:val="0B2545"/>
          <w:sz w:val="42"/>
        </w:rPr>
        <w:t>OPERATIONS HANDOFF</w:t>
      </w:r>
    </w:p>
    <w:p>
      <w:pPr>
        <w:spacing w:after="200"/>
      </w:pPr>
      <w:r>
        <w:rPr>
          <w:rFonts w:ascii="Calibri" w:hAnsi="Calibri"/>
          <w:b w:val="0"/>
          <w:i w:val="0"/>
          <w:color w:val="475467"/>
          <w:sz w:val="26"/>
        </w:rPr>
        <w:t>Post-PCI clinical case retrieval - incident chronology</w:t>
      </w:r>
    </w:p>
    <w:p>
      <w:pPr>
        <w:spacing w:after="40"/>
      </w:pPr>
      <w:r>
        <w:rPr>
          <w:rFonts w:ascii="Calibri" w:hAnsi="Calibri"/>
          <w:b/>
          <w:i w:val="0"/>
          <w:color w:val="222222"/>
          <w:sz w:val="22"/>
        </w:rPr>
        <w:t xml:space="preserve">Service: </w:t>
      </w:r>
      <w:r>
        <w:rPr>
          <w:rFonts w:ascii="Calibri" w:hAnsi="Calibri"/>
          <w:b w:val="0"/>
          <w:i w:val="0"/>
          <w:color w:val="222222"/>
          <w:sz w:val="22"/>
        </w:rPr>
        <w:t>CPU clinical case retriever</w:t>
      </w:r>
    </w:p>
    <w:p>
      <w:pPr>
        <w:spacing w:after="40"/>
      </w:pPr>
      <w:r>
        <w:t>Release line: R9 candidate</w:t>
      </w:r>
    </w:p>
    <w:p>
      <w:pPr>
        <w:spacing w:after="40"/>
      </w:pPr>
      <w:r>
        <w:rPr>
          <w:rFonts w:ascii="Calibri" w:hAnsi="Calibri"/>
          <w:b/>
          <w:i w:val="0"/>
          <w:color w:val="222222"/>
          <w:sz w:val="22"/>
        </w:rPr>
        <w:t xml:space="preserve">Incident: </w:t>
      </w:r>
      <w:r>
        <w:rPr>
          <w:rFonts w:ascii="Calibri" w:hAnsi="Calibri"/>
          <w:b w:val="0"/>
          <w:i w:val="0"/>
          <w:color w:val="222222"/>
          <w:sz w:val="22"/>
        </w:rPr>
        <w:t>Plausible public ranking, unstable shadow evidence set</w:t>
      </w:r>
    </w:p>
    <w:p>
      <w:pPr>
        <w:spacing w:after="40"/>
      </w:pPr>
      <w:r>
        <w:rPr>
          <w:rFonts w:ascii="Calibri" w:hAnsi="Calibri"/>
          <w:b/>
          <w:i w:val="0"/>
          <w:color w:val="222222"/>
          <w:sz w:val="22"/>
        </w:rPr>
        <w:t xml:space="preserve">Status: </w:t>
      </w:r>
      <w:r>
        <w:rPr>
          <w:rFonts w:ascii="Calibri" w:hAnsi="Calibri"/>
          <w:b w:val="0"/>
          <w:i w:val="0"/>
          <w:color w:val="222222"/>
          <w:sz w:val="22"/>
        </w:rPr>
        <w:t>Repair and operational cutover required</w:t>
      </w:r>
    </w:p>
    <w:p>
      <w:pPr>
        <w:pStyle w:val="Heading1"/>
      </w:pPr>
      <w:r>
        <w:t>1. Incident snapshot</w:t>
      </w:r>
    </w:p>
    <w:p>
      <w:r>
        <w:t>The public smoke returns twelve unique cases, but the shadow panel changes under ordinary serving counterfactuals involving release inventory, request phase, and identifier projection. The first candidate deployment also returns dirty before ranking can be evaluated.</w:t>
      </w:r>
    </w:p>
    <w:p>
      <w:pPr>
        <w:pStyle w:val="Heading1"/>
      </w:pPr>
      <w:r>
        <w:t>2. Evidence chronology</w:t>
      </w:r>
    </w:p>
    <w:tbl>
      <w:tblPr>
        <w:tblStyle w:val="TableGrid"/>
        <w:tblW w:type="dxa" w:w="9360"/>
        <w:tblLayout w:type="fixed"/>
        <w:tblLook w:firstColumn="1" w:firstRow="1" w:lastColumn="0" w:lastRow="0" w:noHBand="0" w:noVBand="1" w:val="04A0"/>
        <w:tblInd w:w="120" w:type="dxa"/>
      </w:tblPr>
      <w:tblGrid>
        <w:gridCol w:w="1200"/>
        <w:gridCol w:w="4080"/>
        <w:gridCol w:w="4080"/>
      </w:tblGrid>
      <w:tr>
        <w:tc>
          <w:tcPr>
            <w:tcW w:type="dxa" w:w="1200"/>
            <w:shd w:fill="F2F4F7"/>
            <w:vAlign w:val="center"/>
            <w:tcMar>
              <w:top w:w="80" w:type="dxa"/>
              <w:bottom w:w="80" w:type="dxa"/>
              <w:start w:w="120" w:type="dxa"/>
              <w:end w:w="120" w:type="dxa"/>
            </w:tcMar>
          </w:tcPr>
          <w:p>
            <w:r>
              <w:rPr>
                <w:rFonts w:ascii="Calibri" w:hAnsi="Calibri"/>
                <w:b/>
                <w:i w:val="0"/>
                <w:color w:val="0B2545"/>
                <w:sz w:val="19"/>
              </w:rPr>
              <w:t>Date</w:t>
            </w:r>
          </w:p>
        </w:tc>
        <w:tc>
          <w:tcPr>
            <w:tcW w:type="dxa" w:w="4080"/>
            <w:shd w:fill="F2F4F7"/>
            <w:vAlign w:val="center"/>
            <w:tcMar>
              <w:top w:w="80" w:type="dxa"/>
              <w:bottom w:w="80" w:type="dxa"/>
              <w:start w:w="120" w:type="dxa"/>
              <w:end w:w="120" w:type="dxa"/>
            </w:tcMar>
          </w:tcPr>
          <w:p>
            <w:r>
              <w:rPr>
                <w:rFonts w:ascii="Calibri" w:hAnsi="Calibri"/>
                <w:b/>
                <w:i w:val="0"/>
                <w:color w:val="0B2545"/>
                <w:sz w:val="19"/>
              </w:rPr>
              <w:t>Observed event</w:t>
            </w:r>
          </w:p>
        </w:tc>
        <w:tc>
          <w:tcPr>
            <w:tcW w:type="dxa" w:w="4080"/>
            <w:shd w:fill="F2F4F7"/>
            <w:vAlign w:val="center"/>
            <w:tcMar>
              <w:top w:w="80" w:type="dxa"/>
              <w:bottom w:w="80" w:type="dxa"/>
              <w:start w:w="120" w:type="dxa"/>
              <w:end w:w="120" w:type="dxa"/>
            </w:tcMar>
          </w:tcPr>
          <w:p>
            <w:r>
              <w:rPr>
                <w:rFonts w:ascii="Calibri" w:hAnsi="Calibri"/>
                <w:b/>
                <w:i w:val="0"/>
                <w:color w:val="0B2545"/>
                <w:sz w:val="19"/>
              </w:rPr>
              <w:t>Follow-up evidence</w:t>
            </w:r>
          </w:p>
        </w:tc>
      </w:tr>
      <w:tr>
        <w:tc>
          <w:tcPr>
            <w:tcW w:type="dxa" w:w="1200"/>
            <w:vAlign w:val="center"/>
            <w:tcMar>
              <w:top w:w="80" w:type="dxa"/>
              <w:bottom w:w="80" w:type="dxa"/>
              <w:start w:w="120" w:type="dxa"/>
              <w:end w:w="120" w:type="dxa"/>
            </w:tcMar>
          </w:tcPr>
          <w:p>
            <w:r>
              <w:rPr>
                <w:rFonts w:ascii="Calibri" w:hAnsi="Calibri"/>
                <w:b w:val="0"/>
                <w:i w:val="0"/>
                <w:color w:val="222222"/>
                <w:sz w:val="18"/>
              </w:rPr>
              <w:t>02 Apr</w:t>
            </w:r>
          </w:p>
        </w:tc>
        <w:tc>
          <w:tcPr>
            <w:tcW w:type="dxa" w:w="4080"/>
            <w:vAlign w:val="center"/>
            <w:tcMar>
              <w:top w:w="80" w:type="dxa"/>
              <w:bottom w:w="80" w:type="dxa"/>
              <w:start w:w="120" w:type="dxa"/>
              <w:end w:w="120" w:type="dxa"/>
            </w:tcMar>
          </w:tcPr>
          <w:p>
            <w:r>
              <w:rPr>
                <w:rFonts w:ascii="Calibri" w:hAnsi="Calibri"/>
                <w:b w:val="0"/>
                <w:i w:val="0"/>
                <w:color w:val="222222"/>
                <w:sz w:val="18"/>
              </w:rPr>
              <w:t>Landing inventory exceeded the release population.</w:t>
            </w:r>
          </w:p>
        </w:tc>
        <w:tc>
          <w:tcPr>
            <w:tcW w:type="dxa" w:w="4080"/>
            <w:vAlign w:val="center"/>
            <w:tcMar>
              <w:top w:w="80" w:type="dxa"/>
              <w:bottom w:w="80" w:type="dxa"/>
              <w:start w:w="120" w:type="dxa"/>
              <w:end w:w="120" w:type="dxa"/>
            </w:tcMar>
          </w:tcPr>
          <w:p>
            <w:r>
              <w:rPr>
                <w:rFonts w:ascii="Calibri" w:hAnsi="Calibri"/>
                <w:b w:val="0"/>
                <w:i w:val="0"/>
                <w:color w:val="222222"/>
                <w:sz w:val="18"/>
              </w:rPr>
              <w:t>Source inspection added to the gate.</w:t>
            </w:r>
          </w:p>
        </w:tc>
      </w:tr>
      <w:tr>
        <w:tc>
          <w:tcPr>
            <w:tcW w:type="dxa" w:w="1200"/>
            <w:vAlign w:val="center"/>
            <w:tcMar>
              <w:top w:w="80" w:type="dxa"/>
              <w:bottom w:w="80" w:type="dxa"/>
              <w:start w:w="120" w:type="dxa"/>
              <w:end w:w="120" w:type="dxa"/>
            </w:tcMar>
          </w:tcPr>
          <w:p>
            <w:r>
              <w:rPr>
                <w:rFonts w:ascii="Calibri" w:hAnsi="Calibri"/>
                <w:b w:val="0"/>
                <w:i w:val="0"/>
                <w:color w:val="222222"/>
                <w:sz w:val="18"/>
              </w:rPr>
              <w:t>08 Apr</w:t>
            </w:r>
          </w:p>
        </w:tc>
        <w:tc>
          <w:tcPr>
            <w:tcW w:type="dxa" w:w="4080"/>
            <w:vAlign w:val="center"/>
            <w:tcMar>
              <w:top w:w="80" w:type="dxa"/>
              <w:bottom w:w="80" w:type="dxa"/>
              <w:start w:w="120" w:type="dxa"/>
              <w:end w:w="120" w:type="dxa"/>
            </w:tcMar>
          </w:tcPr>
          <w:p>
            <w:r>
              <w:rPr>
                <w:rFonts w:ascii="Calibri" w:hAnsi="Calibri"/>
                <w:b w:val="0"/>
                <w:i w:val="0"/>
                <w:color w:val="222222"/>
                <w:sz w:val="18"/>
              </w:rPr>
              <w:t>Shadow ranks changed after redaction and reordering.</w:t>
            </w:r>
          </w:p>
        </w:tc>
        <w:tc>
          <w:tcPr>
            <w:tcW w:type="dxa" w:w="4080"/>
            <w:vAlign w:val="center"/>
            <w:tcMar>
              <w:top w:w="80" w:type="dxa"/>
              <w:bottom w:w="80" w:type="dxa"/>
              <w:start w:w="120" w:type="dxa"/>
              <w:end w:w="120" w:type="dxa"/>
            </w:tcMar>
          </w:tcPr>
          <w:p>
            <w:r>
              <w:rPr>
                <w:rFonts w:ascii="Calibri" w:hAnsi="Calibri"/>
                <w:b w:val="0"/>
                <w:i w:val="0"/>
                <w:color w:val="222222"/>
                <w:sz w:val="18"/>
              </w:rPr>
              <w:t>Counterfactual retained for validation.</w:t>
            </w:r>
          </w:p>
        </w:tc>
      </w:tr>
      <w:tr>
        <w:tc>
          <w:tcPr>
            <w:tcW w:type="dxa" w:w="1200"/>
            <w:vAlign w:val="center"/>
            <w:tcMar>
              <w:top w:w="80" w:type="dxa"/>
              <w:bottom w:w="80" w:type="dxa"/>
              <w:start w:w="120" w:type="dxa"/>
              <w:end w:w="120" w:type="dxa"/>
            </w:tcMar>
          </w:tcPr>
          <w:p>
            <w:r>
              <w:rPr>
                <w:rFonts w:ascii="Calibri" w:hAnsi="Calibri"/>
                <w:b w:val="0"/>
                <w:i w:val="0"/>
                <w:color w:val="222222"/>
                <w:sz w:val="18"/>
              </w:rPr>
              <w:t>10 Apr</w:t>
            </w:r>
          </w:p>
        </w:tc>
        <w:tc>
          <w:tcPr>
            <w:tcW w:type="dxa" w:w="4080"/>
            <w:vAlign w:val="center"/>
            <w:tcMar>
              <w:top w:w="80" w:type="dxa"/>
              <w:bottom w:w="80" w:type="dxa"/>
              <w:start w:w="120" w:type="dxa"/>
              <w:end w:w="120" w:type="dxa"/>
            </w:tcMar>
          </w:tcPr>
          <w:p>
            <w:r>
              <w:rPr>
                <w:rFonts w:ascii="Calibri" w:hAnsi="Calibri"/>
                <w:b w:val="0"/>
                <w:i w:val="0"/>
                <w:color w:val="222222"/>
                <w:sz w:val="18"/>
              </w:rPr>
              <w:t>View scores failed a comparability review.</w:t>
            </w:r>
          </w:p>
        </w:tc>
        <w:tc>
          <w:tcPr>
            <w:tcW w:type="dxa" w:w="4080"/>
            <w:vAlign w:val="center"/>
            <w:tcMar>
              <w:top w:w="80" w:type="dxa"/>
              <w:bottom w:w="80" w:type="dxa"/>
              <w:start w:w="120" w:type="dxa"/>
              <w:end w:w="120" w:type="dxa"/>
            </w:tcMar>
          </w:tcPr>
          <w:p>
            <w:r>
              <w:rPr>
                <w:rFonts w:ascii="Calibri" w:hAnsi="Calibri"/>
                <w:b w:val="0"/>
                <w:i w:val="0"/>
                <w:color w:val="222222"/>
                <w:sz w:val="18"/>
              </w:rPr>
              <w:t>Accepted receipts moved behind audit.</w:t>
            </w:r>
          </w:p>
        </w:tc>
      </w:tr>
      <w:tr>
        <w:tc>
          <w:tcPr>
            <w:tcW w:type="dxa" w:w="1200"/>
            <w:vAlign w:val="center"/>
            <w:tcMar>
              <w:top w:w="80" w:type="dxa"/>
              <w:bottom w:w="80" w:type="dxa"/>
              <w:start w:w="120" w:type="dxa"/>
              <w:end w:w="120" w:type="dxa"/>
            </w:tcMar>
          </w:tcPr>
          <w:p>
            <w:r>
              <w:rPr>
                <w:rFonts w:ascii="Calibri" w:hAnsi="Calibri"/>
                <w:b w:val="0"/>
                <w:i w:val="0"/>
                <w:color w:val="222222"/>
                <w:sz w:val="18"/>
              </w:rPr>
              <w:t>13 Apr</w:t>
            </w:r>
          </w:p>
        </w:tc>
        <w:tc>
          <w:tcPr>
            <w:tcW w:type="dxa" w:w="4080"/>
            <w:vAlign w:val="center"/>
            <w:tcMar>
              <w:top w:w="80" w:type="dxa"/>
              <w:bottom w:w="80" w:type="dxa"/>
              <w:start w:w="120" w:type="dxa"/>
              <w:end w:w="120" w:type="dxa"/>
            </w:tcMar>
          </w:tcPr>
          <w:p>
            <w:r>
              <w:rPr>
                <w:rFonts w:ascii="Calibri" w:hAnsi="Calibri"/>
                <w:b w:val="0"/>
                <w:i w:val="0"/>
                <w:color w:val="222222"/>
                <w:sz w:val="18"/>
              </w:rPr>
              <w:t>A balanced twelve-case panel was accepted.</w:t>
            </w:r>
          </w:p>
        </w:tc>
        <w:tc>
          <w:tcPr>
            <w:tcW w:type="dxa" w:w="4080"/>
            <w:vAlign w:val="center"/>
            <w:tcMar>
              <w:top w:w="80" w:type="dxa"/>
              <w:bottom w:w="80" w:type="dxa"/>
              <w:start w:w="120" w:type="dxa"/>
              <w:end w:w="120" w:type="dxa"/>
            </w:tcMar>
          </w:tcPr>
          <w:p>
            <w:r>
              <w:rPr>
                <w:rFonts w:ascii="Calibri" w:hAnsi="Calibri"/>
                <w:b w:val="0"/>
                <w:i w:val="0"/>
                <w:color w:val="222222"/>
                <w:sz w:val="18"/>
              </w:rPr>
              <w:t>Exact evidence issued after recovery.</w:t>
            </w:r>
          </w:p>
        </w:tc>
      </w:tr>
    </w:tbl>
    <w:p>
      <w:pPr>
        <w:pStyle w:val="Heading1"/>
      </w:pPr>
      <w:r>
        <w:t>3. Shift notes</w:t>
      </w:r>
    </w:p>
    <w:p>
      <w:r>
        <w:rPr>
          <w:rFonts w:ascii="Calibri" w:hAnsi="Calibri"/>
          <w:b/>
          <w:i w:val="0"/>
          <w:color w:val="1F4D78"/>
          <w:sz w:val="22"/>
        </w:rPr>
        <w:t xml:space="preserve">Note 1: </w:t>
      </w:r>
      <w:r>
        <w:rPr>
          <w:rFonts w:ascii="Calibri" w:hAnsi="Calibri"/>
          <w:b w:val="0"/>
          <w:i w:val="0"/>
          <w:color w:val="222222"/>
          <w:sz w:val="22"/>
        </w:rPr>
        <w:t>The PDF ends before the CT result; do not assume an absent outcome.</w:t>
      </w:r>
    </w:p>
    <w:p>
      <w:r>
        <w:rPr>
          <w:rFonts w:ascii="Calibri" w:hAnsi="Calibri"/>
          <w:b/>
          <w:i w:val="0"/>
          <w:color w:val="1F4D78"/>
          <w:sz w:val="22"/>
        </w:rPr>
        <w:t xml:space="preserve">Note 2: </w:t>
      </w:r>
      <w:r>
        <w:rPr>
          <w:rFonts w:ascii="Calibri" w:hAnsi="Calibri"/>
          <w:b w:val="0"/>
          <w:i w:val="0"/>
          <w:color w:val="222222"/>
          <w:sz w:val="22"/>
        </w:rPr>
        <w:t>The ranking audit releases accepted receipts only after recovery.</w:t>
      </w:r>
    </w:p>
    <w:p>
      <w:r>
        <w:rPr>
          <w:rFonts w:ascii="Calibri" w:hAnsi="Calibri"/>
          <w:b/>
          <w:i w:val="0"/>
          <w:color w:val="1F4D78"/>
          <w:sz w:val="22"/>
        </w:rPr>
        <w:t xml:space="preserve">Note 3: </w:t>
      </w:r>
      <w:r>
        <w:rPr>
          <w:rFonts w:ascii="Calibri" w:hAnsi="Calibri"/>
          <w:b w:val="0"/>
          <w:i w:val="0"/>
          <w:color w:val="222222"/>
          <w:sz w:val="22"/>
        </w:rPr>
        <w:t>A clean visible smoke proves execution and shape only.</w:t>
      </w:r>
    </w:p>
    <w:p>
      <w:pPr>
        <w:pStyle w:val="Heading1"/>
      </w:pPr>
      <w:r>
        <w:t>4. Operational boundary</w:t>
      </w:r>
    </w:p>
    <w:p>
      <w:r>
        <w:t>This handoff records symptoms, not the accepted feature configuration, fusion rule, identity-join implementation, or request-phase function. Recover those behaviors from broker-issued receipts after recovery and verify hypotheses through the limited challenge budget.</w:t>
      </w:r>
    </w:p>
    <w:p>
      <w:pPr>
        <w:spacing w:before="160" w:after="40"/>
      </w:pPr>
      <w:r>
        <w:rPr>
          <w:rFonts w:ascii="Calibri" w:hAnsi="Calibri"/>
          <w:b/>
          <w:i w:val="0"/>
          <w:color w:val="7A5A00"/>
          <w:sz w:val="22"/>
        </w:rPr>
        <w:t>Handoff warning: do not promote from a local result file; the environment snapshot, ordered walk, matched recovery, and stable replay are required.</w:t>
      </w:r>
    </w:p>
    <w:p>
      <w:pPr>
        <w:pStyle w:val="Heading2"/>
        <w:keepNext/>
      </w:pPr>
      <w:r>
        <w:t>5. R9 release-discovery note</w:t>
      </w:r>
    </w:p>
    <w:p>
      <w:r>
        <w:t>The public incident remains a twelve-case request, but serving is request-sized. The allocator phase and canonical identity join are deliberately not duplicated in this static handoff. audit.balance and audit.provenance are the operational authorities; manifest order, facet insertion order, and a landing display identifier are not sufficient release authority.</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7"/>
      </w:rPr>
      <w:t>Release R9 | Internal operating record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8"/>
      </w:rPr>
      <w:t>Clinical Evidence Retrieval | Operations Handoff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