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i w:val="0"/>
          <w:color w:val="2E74B5"/>
          <w:sz w:val="20"/>
        </w:rPr>
        <w:t>CLINICAL CASE SPECIFICATION</w:t>
      </w:r>
    </w:p>
    <w:p>
      <w:pPr>
        <w:spacing w:after="80"/>
      </w:pPr>
      <w:r>
        <w:rPr>
          <w:rFonts w:ascii="Calibri" w:hAnsi="Calibri"/>
          <w:b/>
          <w:i w:val="0"/>
          <w:color w:val="1F4D78"/>
          <w:sz w:val="48"/>
        </w:rPr>
        <w:t>Expected Physical Examination Findings</w:t>
      </w:r>
    </w:p>
    <w:p>
      <w:pPr>
        <w:spacing w:after="320"/>
      </w:pPr>
      <w:r>
        <w:rPr>
          <w:rFonts w:ascii="Calibri" w:hAnsi="Calibri"/>
          <w:b w:val="0"/>
          <w:i w:val="0"/>
          <w:color w:val="607078"/>
          <w:sz w:val="25"/>
        </w:rPr>
        <w:t>demo_10016810  |  Acute appendicitis with generalized peritonitis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Patient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32B"/>
                <w:sz w:val="19"/>
              </w:rPr>
              <w:t>66-year-old woman with severe abdominal pain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Corrected triage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32B"/>
                <w:sz w:val="19"/>
              </w:rPr>
              <w:t>Pain 8/10 • BP 98/48 mm Hg • SpO₂ 90% • ESI 2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Teaching objective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32B"/>
                <w:sz w:val="19"/>
              </w:rPr>
              <w:t>Recognize generalized peritonitis, stabilize physiologic threats, and escalate for urgent surgical care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E"/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Core case pattern: </w:t>
            </w:r>
            <w:r>
              <w:rPr>
                <w:rFonts w:ascii="Calibri" w:hAnsi="Calibri"/>
                <w:b w:val="0"/>
                <w:i w:val="0"/>
                <w:color w:val="17232B"/>
                <w:sz w:val="21"/>
              </w:rPr>
              <w:t>The examination should demonstrate a sick patient who avoids movement, has diffuse peritoneal irritation with maximal right-lower-quadrant findings, and has supportive appendiceal maneuvers. Generalized guarding, rigidity, rebound, and percussion tenderness are the most important findings.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Expected findings by examination domain</w:t>
      </w:r>
    </w:p>
    <w:p>
      <w:pPr>
        <w:pStyle w:val="Heading2"/>
        <w:keepNext/>
        <w:spacing w:before="280" w:after="140"/>
      </w:pPr>
      <w:r>
        <w:rPr>
          <w:rFonts w:ascii="Calibri" w:hAnsi="Calibri"/>
          <w:b/>
          <w:i w:val="0"/>
          <w:color w:val="2E74B5"/>
          <w:sz w:val="26"/>
        </w:rPr>
        <w:t>General and respiratory examination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160"/>
        <w:gridCol w:w="230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Maneuver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Expected authored finding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Teaching meaning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7232B"/>
                <w:sz w:val="18"/>
              </w:rPr>
              <w:t>General appearance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Ill-appearing and uncomfortable; lies still to minimize abdominal pain; awake and speaking clearly.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Movement avoidance supports peritoneal irritation; mental status remains intact.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7232B"/>
                <w:sz w:val="18"/>
              </w:rPr>
              <w:t>Work of breathing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Mildly increased work of breathing without severe respiratory distress.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Prompts reassessment of SpO₂ 90% and response to oxygen.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7232B"/>
                <w:sz w:val="18"/>
              </w:rPr>
              <w:t>Breath sounds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Clear bilaterally without focal crackles or wheeze.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Assesses thoracic alternatives and guides oxygen/fluid reassessment.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Calibri" w:hAnsi="Calibri"/>
          <w:b/>
          <w:i w:val="0"/>
          <w:color w:val="2E74B5"/>
          <w:sz w:val="26"/>
        </w:rPr>
        <w:t>Abdominal examination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160"/>
        <w:gridCol w:w="230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Maneuver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Expected authored finding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Teaching meaning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7232B"/>
                <w:sz w:val="18"/>
              </w:rPr>
              <w:t>Inspection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Mild-to-moderate distention with shallow abdominal excursion; patient remains still because movement worsens pain.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Supports ileus/peritoneal irritation and severe intra-abdominal disease.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7232B"/>
                <w:sz w:val="18"/>
              </w:rPr>
              <w:t>Auscultation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Hypoactive bowel sounds.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May accompany ileus in generalized peritonitis; not diagnostic alone.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7232B"/>
                <w:sz w:val="18"/>
              </w:rPr>
              <w:t>Light palpation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Diffuse tenderness, maximal in the right lower quadrant at McBurney point.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Localizes appendiceal inflammation within a generalized process.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7232B"/>
                <w:sz w:val="18"/>
              </w:rPr>
              <w:t>Guarding / rigidity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Involuntary guarding with generalized board-like rigidity, greatest in the right lower quadrant.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High-urgency evidence of generalized peritoneal irritation.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7232B"/>
                <w:sz w:val="18"/>
              </w:rPr>
              <w:t>Rebound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Diffuse rebound tenderness, most pronounced in the right lower quadrant.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Supports peritonitis; repeated painful maneuvers should be avoided.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7232B"/>
                <w:sz w:val="18"/>
              </w:rPr>
              <w:t>Percussion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Diffuse percussion tenderness, greatest in the right lower quadrant, with mild tympany over the distended abdomen.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A less forceful way to demonstrate peritoneal irritation.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7232B"/>
                <w:sz w:val="18"/>
              </w:rPr>
              <w:t>Rovsing sign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Positive: left-lower-quadrant palpation elicits right-lower-quadrant pain.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Supports appendiceal/peritoneal irritation but has limited sensitivity.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7232B"/>
                <w:sz w:val="18"/>
              </w:rPr>
              <w:t>Psoas sign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Positive: passive extension of the right hip increases right-lower-quadrant pain.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Supports irritation near the iliopsoas, often with a retrocecal appendix.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7232B"/>
                <w:sz w:val="18"/>
              </w:rPr>
              <w:t>Obturator sign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Positive: internal rotation of the flexed right hip reproduces lower abdominal pain.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Supports pelvic irritation; appendix position affects whether it is present.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7232B"/>
                <w:sz w:val="18"/>
              </w:rPr>
              <w:t>Murphy sign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Negative.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Makes a biliary source less supported without excluding it by itself.</w:t>
            </w:r>
          </w:p>
        </w:tc>
      </w:tr>
    </w:tbl>
    <w:p>
      <w:pPr>
        <w:pStyle w:val="Heading1"/>
        <w:keepNext/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How the simulator should present the findings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32B"/>
          <w:sz w:val="21"/>
        </w:rPr>
        <w:t>Each finding should appear only after the learner selects the matching structured examination maneuver.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32B"/>
          <w:sz w:val="21"/>
        </w:rPr>
        <w:t>The initial screen should show pain 8/10, not 0/10, and the patient should describe severe pain when asked.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32B"/>
          <w:sz w:val="21"/>
        </w:rPr>
        <w:t>The examination record should use the catalog IDs for abdominal inspection, light palpation, guarding, rebound, bowel sounds, Rovsing, psoas, obturator, percussion, and Murphy sign.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32B"/>
          <w:sz w:val="21"/>
        </w:rPr>
        <w:t>OpenEvidence should receive both the finding and its provenance, then explain its meaning, limitations, and effect on management.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32B"/>
          <w:sz w:val="21"/>
        </w:rPr>
        <w:t>The local rubric should verify that the learner performed the maneuver; OpenEvidence should judge interpretation and clinical reasoning.</w:t>
      </w:r>
    </w:p>
    <w:p>
      <w:pPr>
        <w:pStyle w:val="Heading1"/>
        <w:keepNext/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Clinical interpretation guardrails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E"/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Faculty caution: </w:t>
            </w:r>
            <w:r>
              <w:rPr>
                <w:rFonts w:ascii="Calibri" w:hAnsi="Calibri"/>
                <w:b w:val="0"/>
                <w:i w:val="0"/>
                <w:color w:val="17232B"/>
                <w:sz w:val="21"/>
              </w:rPr>
              <w:t>Rovsing, psoas, and obturator signs are supportive rather than required. Their sensitivities are low and their presence depends partly on appendix position. This authored case uses positive named signs to create a coherent teaching pattern, but learners should not be taught that all patients with appendicitis demonstrate all three.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32B"/>
          <w:sz w:val="21"/>
        </w:rPr>
        <w:t>Generalized involuntary guarding, rigidity, rebound, and percussion tenderness should drive urgency more strongly than any single named appendiceal sign.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32B"/>
          <w:sz w:val="21"/>
        </w:rPr>
        <w:t>In an adult aged 66 years, atypical presentations and alternative diagnoses remain important; examination findings should guide but not replace definitive imaging and surgical evaluation.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32B"/>
          <w:sz w:val="21"/>
        </w:rPr>
        <w:t>A normal or placeholder CT report must not override a clinically concerning examination. The current case report must remain explicitly labeled as templated until replaced with a clinician-reviewed diagnostic report.</w:t>
      </w:r>
    </w:p>
    <w:p>
      <w:pPr>
        <w:pStyle w:val="Heading1"/>
        <w:keepNext/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Source basis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32B"/>
          <w:sz w:val="21"/>
        </w:rPr>
        <w:t>Podda M, et al. Diagnosis and Treatment of Acute Appendicitis: 2025 Edition of the World Society of Emergency Surgery Jerusalem Guidelines. JAMA Surgery. doi:10.1001/jamasurg.2025.6218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32B"/>
          <w:sz w:val="21"/>
        </w:rPr>
        <w:t>Fugazzola P, et al. Guidelines for diagnosis and treatment of acute appendicitis in the elderly. World Journal of Emergency Surgery. 2020;15:19. doi:10.1186/s13017-020-00298-0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32B"/>
          <w:sz w:val="21"/>
        </w:rPr>
        <w:t>Wagner JM, McKinney WP, Carpenter JL. Does This Patient Have Appendicitis? JAMA. 1996;276(19).</w:t>
      </w:r>
    </w:p>
    <w:p>
      <w:pPr>
        <w:spacing w:before="120" w:after="120" w:line="300" w:lineRule="auto"/>
      </w:pPr>
      <w:r>
        <w:rPr>
          <w:rFonts w:ascii="Calibri" w:hAnsi="Calibri"/>
          <w:b/>
          <w:i w:val="0"/>
          <w:color w:val="9B1C1C"/>
          <w:sz w:val="19"/>
        </w:rPr>
        <w:t>Final case content and scoring should undergo clinician review and a complete faculty playthrough before summative use.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07078"/>
        <w:sz w:val="17"/>
      </w:rPr>
      <w:t>demo_10016810  •  Clinician review required before summative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07078"/>
        <w:sz w:val="17"/>
      </w:rPr>
      <w:t>ER Triage Project  |  Faculty case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