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0284C7"/>
          <w:sz w:val="17"/>
        </w:rPr>
        <w:t>NASA SPACE APPS 2026  |  BE AN EARTH SYSTEM TREND DETECTIVE</w:t>
      </w:r>
    </w:p>
    <w:p>
      <w:pPr>
        <w:spacing w:before="40" w:after="80"/>
      </w:pPr>
      <w:r>
        <w:rPr>
          <w:rFonts w:ascii="Arial" w:hAnsi="Arial"/>
          <w:b/>
          <w:color w:val="1E3A8A"/>
          <w:sz w:val="40"/>
        </w:rPr>
        <w:t>Project Update &amp; Questions for Mentor</w:t>
      </w:r>
    </w:p>
    <w:p>
      <w:pPr>
        <w:spacing w:after="280"/>
      </w:pPr>
      <w:r>
        <w:rPr>
          <w:rFonts w:ascii="Arial" w:hAnsi="Arial"/>
          <w:color w:val="64748B"/>
          <w:sz w:val="21"/>
        </w:rPr>
        <w:t>Project: Water Storage Trends in Bangladesh (2020–2026)  •  October 2026</w:t>
      </w:r>
    </w:p>
    <w:tbl>
      <w:tblPr>
        <w:tblW w:type="auto" w:w="0"/>
        <w:jc w:val="center"/>
        <w:tblLook w:firstColumn="1" w:firstRow="1" w:lastColumn="0" w:lastRow="0" w:noHBand="0" w:noVBand="1" w:val="04A0"/>
      </w:tblPr>
      <w:tblGrid>
        <w:gridCol w:w="9936"/>
      </w:tblGrid>
      <w:tr>
        <w:tc>
          <w:tcPr>
            <w:tcW w:type="dxa" w:w="9936"/>
            <w:shd w:fill="F8FAFC"/>
            <w:tcMar>
              <w:top w:w="120" w:type="dxa"/>
              <w:bottom w:w="120" w:type="dxa"/>
              <w:left w:w="160" w:type="dxa"/>
              <w:right w:w="160" w:type="dxa"/>
            </w:tcMar>
            <w:tcBorders>
              <w:left w:val="single" w:sz="18" w:space="0" w:color="0284C7"/>
              <w:top w:val="none"/>
              <w:right w:val="none"/>
              <w:bottom w:val="none"/>
            </w:tcBorders>
          </w:tcPr>
          <w:p>
            <w:pPr>
              <w:spacing w:after="0"/>
            </w:pPr>
            <w:r>
              <w:rPr>
                <w:b/>
                <w:color w:val="1E3A8A"/>
                <w:sz w:val="19"/>
              </w:rPr>
              <w:t>What we are studying:</w:t>
              <w:br/>
            </w:r>
            <w:r>
              <w:rPr>
                <w:color w:val="1E293B"/>
                <w:sz w:val="19"/>
              </w:rPr>
              <w:t>Bangladesh gets heavy monsoon rain every year, yet satellite data shows that total water levels in the northern parts of the country are steadily dropping. Even during the rainy season, the north often stays in a water deficit while the south has plenty of water. This note summarizes what we have done so far, where our work falls short, and what we should work on next.</w:t>
            </w:r>
          </w:p>
        </w:tc>
      </w:tr>
    </w:tbl>
    <w:p>
      <w:pPr>
        <w:spacing w:before="120" w:after="0"/>
      </w:pPr>
    </w:p>
    <w:p>
      <w:pPr>
        <w:keepNext/>
        <w:spacing w:before="280" w:after="80"/>
      </w:pPr>
      <w:r>
        <w:rPr>
          <w:rFonts w:ascii="Arial" w:hAnsi="Arial"/>
          <w:b/>
          <w:color w:val="1E3A8A"/>
          <w:sz w:val="26"/>
        </w:rPr>
        <w:t>1. Datasets &amp; What We Have Done So Far</w:t>
      </w:r>
    </w:p>
    <w:p>
      <w:pPr>
        <w:spacing w:after="120"/>
      </w:pPr>
      <w:r>
        <w:t>We wrote Python scripts to compare water storage and rainfall across all 8 divisions of Bangladesh from 2020 to 2026:</w:t>
      </w:r>
    </w:p>
    <w:p>
      <w:pPr>
        <w:pStyle w:val="ListBullet"/>
        <w:spacing w:after="60"/>
      </w:pPr>
      <w:r>
        <w:rPr>
          <w:b/>
          <w:color w:val="1E293B"/>
        </w:rPr>
        <w:t xml:space="preserve">Water Storage Data (NASA GRACE): </w:t>
      </w:r>
      <w:r>
        <w:rPr>
          <w:color w:val="1E293B"/>
        </w:rPr>
        <w:t>We analyze the CSR GRACE/GRACE-FO mascon dataset, which measures monthly changes in total water thickness from space.</w:t>
      </w:r>
    </w:p>
    <w:p>
      <w:pPr>
        <w:pStyle w:val="ListBullet"/>
        <w:spacing w:after="60"/>
      </w:pPr>
      <w:r>
        <w:rPr>
          <w:b/>
          <w:color w:val="1E293B"/>
        </w:rPr>
        <w:t xml:space="preserve">Rainfall Data (NASA POWER / GPM IMERG): </w:t>
      </w:r>
      <w:r>
        <w:rPr>
          <w:color w:val="1E293B"/>
        </w:rPr>
        <w:t>We wrote a script that automatically downloads monthly satellite rainfall data for Bangladesh directly from the NASA POWER API.</w:t>
      </w:r>
    </w:p>
    <w:p>
      <w:pPr>
        <w:pStyle w:val="ListBullet"/>
        <w:spacing w:after="60"/>
      </w:pPr>
      <w:r>
        <w:rPr>
          <w:b/>
          <w:color w:val="1E293B"/>
        </w:rPr>
        <w:t xml:space="preserve">Division-Level Breakdown: </w:t>
      </w:r>
      <w:r>
        <w:rPr>
          <w:color w:val="1E293B"/>
        </w:rPr>
        <w:t>Using division boundary maps (GeoJSON), we calculated average water storage and rainfall for each of the 8 divisions.</w:t>
      </w:r>
    </w:p>
    <w:p>
      <w:pPr>
        <w:pStyle w:val="ListBullet"/>
        <w:spacing w:after="60"/>
      </w:pPr>
      <w:r>
        <w:rPr>
          <w:b/>
          <w:color w:val="1E293B"/>
        </w:rPr>
        <w:t xml:space="preserve">Long-Term Trend Check (2020–2026): </w:t>
      </w:r>
      <w:r>
        <w:rPr>
          <w:color w:val="1E293B"/>
        </w:rPr>
        <w:t>We removed the normal seasonal monsoon ups and downs across 79 monthly observations (2020–2026), using standard statistical tests (Mann-Kendall and Theil-Sen slope) to measure how fast water is changing per year.</w:t>
      </w:r>
    </w:p>
    <w:p>
      <w:pPr>
        <w:pStyle w:val="ListBullet"/>
        <w:spacing w:after="60"/>
      </w:pPr>
      <w:r>
        <w:rPr>
          <w:b/>
          <w:color w:val="1E293B"/>
        </w:rPr>
        <w:t xml:space="preserve">Maps &amp; Reports: </w:t>
      </w:r>
      <w:r>
        <w:rPr>
          <w:color w:val="1E293B"/>
        </w:rPr>
        <w:t>Our scripts generate division maps, bar charts, Excel/CSV tables, and simple HTML pages to view the results.</w:t>
      </w:r>
    </w:p>
    <w:p>
      <w:pPr>
        <w:spacing w:before="80" w:after="80"/>
      </w:pPr>
      <w:r>
        <w:rPr>
          <w:b/>
          <w:color w:val="1E3A8A"/>
          <w:sz w:val="19"/>
        </w:rPr>
        <w:t>Water Storage Trend by Division (2020–2026):</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Mar>
              <w:top w:w="60" w:type="dxa"/>
              <w:bottom w:w="60" w:type="dxa"/>
              <w:left w:w="80" w:type="dxa"/>
              <w:right w:w="80" w:type="dxa"/>
            </w:tcMar>
            <w:shd w:fill="1E3A8A"/>
          </w:tcPr>
          <w:p>
            <w:pPr>
              <w:jc w:val="left"/>
            </w:pPr>
            <w:r>
              <w:rPr>
                <w:rFonts w:ascii="Arial" w:hAnsi="Arial"/>
                <w:b/>
                <w:color w:val="FFFFFF"/>
                <w:sz w:val="17"/>
              </w:rPr>
              <w:t>Division</w:t>
            </w:r>
          </w:p>
        </w:tc>
        <w:tc>
          <w:tcPr>
            <w:tcW w:type="dxa" w:w="1987"/>
            <w:tcMar>
              <w:top w:w="60" w:type="dxa"/>
              <w:bottom w:w="60" w:type="dxa"/>
              <w:left w:w="80" w:type="dxa"/>
              <w:right w:w="80" w:type="dxa"/>
            </w:tcMar>
            <w:shd w:fill="1E3A8A"/>
          </w:tcPr>
          <w:p>
            <w:pPr>
              <w:jc w:val="center"/>
            </w:pPr>
            <w:r>
              <w:rPr>
                <w:rFonts w:ascii="Arial" w:hAnsi="Arial"/>
                <w:b/>
                <w:color w:val="FFFFFF"/>
                <w:sz w:val="17"/>
              </w:rPr>
              <w:t>Yearly Change</w:t>
            </w:r>
          </w:p>
        </w:tc>
        <w:tc>
          <w:tcPr>
            <w:tcW w:type="dxa" w:w="1987"/>
            <w:tcMar>
              <w:top w:w="60" w:type="dxa"/>
              <w:bottom w:w="60" w:type="dxa"/>
              <w:left w:w="80" w:type="dxa"/>
              <w:right w:w="80" w:type="dxa"/>
            </w:tcMar>
            <w:shd w:fill="1E3A8A"/>
          </w:tcPr>
          <w:p>
            <w:pPr>
              <w:jc w:val="center"/>
            </w:pPr>
            <w:r>
              <w:rPr>
                <w:rFonts w:ascii="Arial" w:hAnsi="Arial"/>
                <w:b/>
                <w:color w:val="FFFFFF"/>
                <w:sz w:val="17"/>
              </w:rPr>
              <w:t>95% Confidence Range</w:t>
            </w:r>
          </w:p>
        </w:tc>
        <w:tc>
          <w:tcPr>
            <w:tcW w:type="dxa" w:w="1987"/>
            <w:tcMar>
              <w:top w:w="60" w:type="dxa"/>
              <w:bottom w:w="60" w:type="dxa"/>
              <w:left w:w="80" w:type="dxa"/>
              <w:right w:w="80" w:type="dxa"/>
            </w:tcMar>
            <w:shd w:fill="1E3A8A"/>
          </w:tcPr>
          <w:p>
            <w:pPr>
              <w:jc w:val="center"/>
            </w:pPr>
            <w:r>
              <w:rPr>
                <w:rFonts w:ascii="Arial" w:hAnsi="Arial"/>
                <w:b/>
                <w:color w:val="FFFFFF"/>
                <w:sz w:val="17"/>
              </w:rPr>
              <w:t>p-value</w:t>
            </w:r>
          </w:p>
        </w:tc>
        <w:tc>
          <w:tcPr>
            <w:tcW w:type="dxa" w:w="1987"/>
            <w:tcMar>
              <w:top w:w="60" w:type="dxa"/>
              <w:bottom w:w="60" w:type="dxa"/>
              <w:left w:w="80" w:type="dxa"/>
              <w:right w:w="80" w:type="dxa"/>
            </w:tcMar>
            <w:shd w:fill="1E3A8A"/>
          </w:tcPr>
          <w:p>
            <w:pPr>
              <w:jc w:val="left"/>
            </w:pPr>
            <w:r>
              <w:rPr>
                <w:rFonts w:ascii="Arial" w:hAnsi="Arial"/>
                <w:b/>
                <w:color w:val="FFFFFF"/>
                <w:sz w:val="17"/>
              </w:rPr>
              <w:t>What It Means</w:t>
            </w:r>
          </w:p>
        </w:tc>
      </w:tr>
      <w:tr>
        <w:tc>
          <w:tcPr>
            <w:tcW w:type="dxa" w:w="1987"/>
            <w:tcMar>
              <w:top w:w="60" w:type="dxa"/>
              <w:bottom w:w="60" w:type="dxa"/>
              <w:left w:w="80" w:type="dxa"/>
              <w:right w:w="80" w:type="dxa"/>
            </w:tcMar>
            <w:shd w:fill="F8FAFC"/>
          </w:tcPr>
          <w:p>
            <w:pPr>
              <w:jc w:val="left"/>
            </w:pPr>
            <w:r>
              <w:rPr>
                <w:rFonts w:ascii="Arial" w:hAnsi="Arial"/>
                <w:color w:val="1E293B"/>
                <w:sz w:val="17"/>
              </w:rPr>
              <w:t>Rangpur</w:t>
            </w:r>
          </w:p>
        </w:tc>
        <w:tc>
          <w:tcPr>
            <w:tcW w:type="dxa" w:w="1987"/>
            <w:tcMar>
              <w:top w:w="60" w:type="dxa"/>
              <w:bottom w:w="60" w:type="dxa"/>
              <w:left w:w="80" w:type="dxa"/>
              <w:right w:w="80" w:type="dxa"/>
            </w:tcMar>
            <w:shd w:fill="F8FAFC"/>
          </w:tcPr>
          <w:p>
            <w:pPr>
              <w:jc w:val="center"/>
            </w:pPr>
            <w:r>
              <w:rPr>
                <w:rFonts w:ascii="Arial" w:hAnsi="Arial"/>
                <w:b/>
                <w:color w:val="B91C1C"/>
                <w:sz w:val="17"/>
              </w:rPr>
              <w:t>-3.42 cm/yr</w:t>
            </w:r>
          </w:p>
        </w:tc>
        <w:tc>
          <w:tcPr>
            <w:tcW w:type="dxa" w:w="1987"/>
            <w:tcMar>
              <w:top w:w="60" w:type="dxa"/>
              <w:bottom w:w="60" w:type="dxa"/>
              <w:left w:w="80" w:type="dxa"/>
              <w:right w:w="80" w:type="dxa"/>
            </w:tcMar>
            <w:shd w:fill="F8FAFC"/>
          </w:tcPr>
          <w:p>
            <w:pPr>
              <w:jc w:val="center"/>
            </w:pPr>
            <w:r>
              <w:rPr>
                <w:rFonts w:ascii="Arial" w:hAnsi="Arial"/>
                <w:color w:val="1E293B"/>
                <w:sz w:val="17"/>
              </w:rPr>
              <w:t>-4.46 to -2.47 cm/yr</w:t>
            </w:r>
          </w:p>
        </w:tc>
        <w:tc>
          <w:tcPr>
            <w:tcW w:type="dxa" w:w="1987"/>
            <w:tcMar>
              <w:top w:w="60" w:type="dxa"/>
              <w:bottom w:w="60" w:type="dxa"/>
              <w:left w:w="80" w:type="dxa"/>
              <w:right w:w="80" w:type="dxa"/>
            </w:tcMar>
            <w:shd w:fill="F8FAFC"/>
          </w:tcPr>
          <w:p>
            <w:pPr>
              <w:jc w:val="center"/>
            </w:pPr>
            <w:r>
              <w:rPr>
                <w:rFonts w:ascii="Arial" w:hAnsi="Arial"/>
                <w:color w:val="1E293B"/>
                <w:sz w:val="17"/>
              </w:rPr>
              <w:t>&lt; 0.001</w:t>
            </w:r>
          </w:p>
        </w:tc>
        <w:tc>
          <w:tcPr>
            <w:tcW w:type="dxa" w:w="1987"/>
            <w:tcMar>
              <w:top w:w="60" w:type="dxa"/>
              <w:bottom w:w="60" w:type="dxa"/>
              <w:left w:w="80" w:type="dxa"/>
              <w:right w:w="80" w:type="dxa"/>
            </w:tcMar>
            <w:shd w:fill="F8FAFC"/>
          </w:tcPr>
          <w:p>
            <w:pPr>
              <w:jc w:val="left"/>
            </w:pPr>
            <w:r>
              <w:rPr>
                <w:rFonts w:ascii="Arial" w:hAnsi="Arial"/>
                <w:color w:val="1E293B"/>
                <w:sz w:val="17"/>
              </w:rPr>
              <w:t>Rapid downward trend</w:t>
            </w:r>
          </w:p>
        </w:tc>
      </w:tr>
      <w:tr>
        <w:tc>
          <w:tcPr>
            <w:tcW w:type="dxa" w:w="1987"/>
            <w:tcMar>
              <w:top w:w="60" w:type="dxa"/>
              <w:bottom w:w="60" w:type="dxa"/>
              <w:left w:w="80" w:type="dxa"/>
              <w:right w:w="80" w:type="dxa"/>
            </w:tcMar>
            <w:shd w:fill="FFFFFF"/>
          </w:tcPr>
          <w:p>
            <w:pPr>
              <w:jc w:val="left"/>
            </w:pPr>
            <w:r>
              <w:rPr>
                <w:rFonts w:ascii="Arial" w:hAnsi="Arial"/>
                <w:color w:val="1E293B"/>
                <w:sz w:val="17"/>
              </w:rPr>
              <w:t>Rajshahi</w:t>
            </w:r>
          </w:p>
        </w:tc>
        <w:tc>
          <w:tcPr>
            <w:tcW w:type="dxa" w:w="1987"/>
            <w:tcMar>
              <w:top w:w="60" w:type="dxa"/>
              <w:bottom w:w="60" w:type="dxa"/>
              <w:left w:w="80" w:type="dxa"/>
              <w:right w:w="80" w:type="dxa"/>
            </w:tcMar>
            <w:shd w:fill="FFFFFF"/>
          </w:tcPr>
          <w:p>
            <w:pPr>
              <w:jc w:val="center"/>
            </w:pPr>
            <w:r>
              <w:rPr>
                <w:rFonts w:ascii="Arial" w:hAnsi="Arial"/>
                <w:b/>
                <w:color w:val="B91C1C"/>
                <w:sz w:val="17"/>
              </w:rPr>
              <w:t>-2.40 cm/yr</w:t>
            </w:r>
          </w:p>
        </w:tc>
        <w:tc>
          <w:tcPr>
            <w:tcW w:type="dxa" w:w="1987"/>
            <w:tcMar>
              <w:top w:w="60" w:type="dxa"/>
              <w:bottom w:w="60" w:type="dxa"/>
              <w:left w:w="80" w:type="dxa"/>
              <w:right w:w="80" w:type="dxa"/>
            </w:tcMar>
            <w:shd w:fill="FFFFFF"/>
          </w:tcPr>
          <w:p>
            <w:pPr>
              <w:jc w:val="center"/>
            </w:pPr>
            <w:r>
              <w:rPr>
                <w:rFonts w:ascii="Arial" w:hAnsi="Arial"/>
                <w:color w:val="1E293B"/>
                <w:sz w:val="17"/>
              </w:rPr>
              <w:t>-3.44 to -1.48 cm/yr</w:t>
            </w:r>
          </w:p>
        </w:tc>
        <w:tc>
          <w:tcPr>
            <w:tcW w:type="dxa" w:w="1987"/>
            <w:tcMar>
              <w:top w:w="60" w:type="dxa"/>
              <w:bottom w:w="60" w:type="dxa"/>
              <w:left w:w="80" w:type="dxa"/>
              <w:right w:w="80" w:type="dxa"/>
            </w:tcMar>
            <w:shd w:fill="FFFFFF"/>
          </w:tcPr>
          <w:p>
            <w:pPr>
              <w:jc w:val="center"/>
            </w:pPr>
            <w:r>
              <w:rPr>
                <w:rFonts w:ascii="Arial" w:hAnsi="Arial"/>
                <w:color w:val="1E293B"/>
                <w:sz w:val="17"/>
              </w:rPr>
              <w:t>&lt; 0.001</w:t>
            </w:r>
          </w:p>
        </w:tc>
        <w:tc>
          <w:tcPr>
            <w:tcW w:type="dxa" w:w="1987"/>
            <w:tcMar>
              <w:top w:w="60" w:type="dxa"/>
              <w:bottom w:w="60" w:type="dxa"/>
              <w:left w:w="80" w:type="dxa"/>
              <w:right w:w="80" w:type="dxa"/>
            </w:tcMar>
            <w:shd w:fill="FFFFFF"/>
          </w:tcPr>
          <w:p>
            <w:pPr>
              <w:jc w:val="left"/>
            </w:pPr>
            <w:r>
              <w:rPr>
                <w:rFonts w:ascii="Arial" w:hAnsi="Arial"/>
                <w:color w:val="1E293B"/>
                <w:sz w:val="17"/>
              </w:rPr>
              <w:t>Rapid downward trend</w:t>
            </w:r>
          </w:p>
        </w:tc>
      </w:tr>
      <w:tr>
        <w:tc>
          <w:tcPr>
            <w:tcW w:type="dxa" w:w="1987"/>
            <w:tcMar>
              <w:top w:w="60" w:type="dxa"/>
              <w:bottom w:w="60" w:type="dxa"/>
              <w:left w:w="80" w:type="dxa"/>
              <w:right w:w="80" w:type="dxa"/>
            </w:tcMar>
            <w:shd w:fill="F8FAFC"/>
          </w:tcPr>
          <w:p>
            <w:pPr>
              <w:jc w:val="left"/>
            </w:pPr>
            <w:r>
              <w:rPr>
                <w:rFonts w:ascii="Arial" w:hAnsi="Arial"/>
                <w:color w:val="1E293B"/>
                <w:sz w:val="17"/>
              </w:rPr>
              <w:t>Mymensingh</w:t>
            </w:r>
          </w:p>
        </w:tc>
        <w:tc>
          <w:tcPr>
            <w:tcW w:type="dxa" w:w="1987"/>
            <w:tcMar>
              <w:top w:w="60" w:type="dxa"/>
              <w:bottom w:w="60" w:type="dxa"/>
              <w:left w:w="80" w:type="dxa"/>
              <w:right w:w="80" w:type="dxa"/>
            </w:tcMar>
            <w:shd w:fill="F8FAFC"/>
          </w:tcPr>
          <w:p>
            <w:pPr>
              <w:jc w:val="center"/>
            </w:pPr>
            <w:r>
              <w:rPr>
                <w:rFonts w:ascii="Arial" w:hAnsi="Arial"/>
                <w:b/>
                <w:color w:val="B91C1C"/>
                <w:sz w:val="17"/>
              </w:rPr>
              <w:t>-1.69 cm/yr</w:t>
            </w:r>
          </w:p>
        </w:tc>
        <w:tc>
          <w:tcPr>
            <w:tcW w:type="dxa" w:w="1987"/>
            <w:tcMar>
              <w:top w:w="60" w:type="dxa"/>
              <w:bottom w:w="60" w:type="dxa"/>
              <w:left w:w="80" w:type="dxa"/>
              <w:right w:w="80" w:type="dxa"/>
            </w:tcMar>
            <w:shd w:fill="F8FAFC"/>
          </w:tcPr>
          <w:p>
            <w:pPr>
              <w:jc w:val="center"/>
            </w:pPr>
            <w:r>
              <w:rPr>
                <w:rFonts w:ascii="Arial" w:hAnsi="Arial"/>
                <w:color w:val="1E293B"/>
                <w:sz w:val="17"/>
              </w:rPr>
              <w:t>-2.63 to -0.76 cm/yr</w:t>
            </w:r>
          </w:p>
        </w:tc>
        <w:tc>
          <w:tcPr>
            <w:tcW w:type="dxa" w:w="1987"/>
            <w:tcMar>
              <w:top w:w="60" w:type="dxa"/>
              <w:bottom w:w="60" w:type="dxa"/>
              <w:left w:w="80" w:type="dxa"/>
              <w:right w:w="80" w:type="dxa"/>
            </w:tcMar>
            <w:shd w:fill="F8FAFC"/>
          </w:tcPr>
          <w:p>
            <w:pPr>
              <w:jc w:val="center"/>
            </w:pPr>
            <w:r>
              <w:rPr>
                <w:rFonts w:ascii="Arial" w:hAnsi="Arial"/>
                <w:color w:val="1E293B"/>
                <w:sz w:val="17"/>
              </w:rPr>
              <w:t>&lt; 0.001</w:t>
            </w:r>
          </w:p>
        </w:tc>
        <w:tc>
          <w:tcPr>
            <w:tcW w:type="dxa" w:w="1987"/>
            <w:tcMar>
              <w:top w:w="60" w:type="dxa"/>
              <w:bottom w:w="60" w:type="dxa"/>
              <w:left w:w="80" w:type="dxa"/>
              <w:right w:w="80" w:type="dxa"/>
            </w:tcMar>
            <w:shd w:fill="F8FAFC"/>
          </w:tcPr>
          <w:p>
            <w:pPr>
              <w:jc w:val="left"/>
            </w:pPr>
            <w:r>
              <w:rPr>
                <w:rFonts w:ascii="Arial" w:hAnsi="Arial"/>
                <w:color w:val="1E293B"/>
                <w:sz w:val="17"/>
              </w:rPr>
              <w:t>Clear downward trend</w:t>
            </w:r>
          </w:p>
        </w:tc>
      </w:tr>
      <w:tr>
        <w:tc>
          <w:tcPr>
            <w:tcW w:type="dxa" w:w="1987"/>
            <w:tcMar>
              <w:top w:w="60" w:type="dxa"/>
              <w:bottom w:w="60" w:type="dxa"/>
              <w:left w:w="80" w:type="dxa"/>
              <w:right w:w="80" w:type="dxa"/>
            </w:tcMar>
            <w:shd w:fill="FFFFFF"/>
          </w:tcPr>
          <w:p>
            <w:pPr>
              <w:jc w:val="left"/>
            </w:pPr>
            <w:r>
              <w:rPr>
                <w:rFonts w:ascii="Arial" w:hAnsi="Arial"/>
                <w:color w:val="1E293B"/>
                <w:sz w:val="17"/>
              </w:rPr>
              <w:t>Dhaka</w:t>
            </w:r>
          </w:p>
        </w:tc>
        <w:tc>
          <w:tcPr>
            <w:tcW w:type="dxa" w:w="1987"/>
            <w:tcMar>
              <w:top w:w="60" w:type="dxa"/>
              <w:bottom w:w="60" w:type="dxa"/>
              <w:left w:w="80" w:type="dxa"/>
              <w:right w:w="80" w:type="dxa"/>
            </w:tcMar>
            <w:shd w:fill="FFFFFF"/>
          </w:tcPr>
          <w:p>
            <w:pPr>
              <w:jc w:val="center"/>
            </w:pPr>
            <w:r>
              <w:rPr>
                <w:rFonts w:ascii="Arial" w:hAnsi="Arial"/>
                <w:b/>
                <w:color w:val="B91C1C"/>
                <w:sz w:val="17"/>
              </w:rPr>
              <w:t>-1.19 cm/yr</w:t>
            </w:r>
          </w:p>
        </w:tc>
        <w:tc>
          <w:tcPr>
            <w:tcW w:type="dxa" w:w="1987"/>
            <w:tcMar>
              <w:top w:w="60" w:type="dxa"/>
              <w:bottom w:w="60" w:type="dxa"/>
              <w:left w:w="80" w:type="dxa"/>
              <w:right w:w="80" w:type="dxa"/>
            </w:tcMar>
            <w:shd w:fill="FFFFFF"/>
          </w:tcPr>
          <w:p>
            <w:pPr>
              <w:jc w:val="center"/>
            </w:pPr>
            <w:r>
              <w:rPr>
                <w:rFonts w:ascii="Arial" w:hAnsi="Arial"/>
                <w:color w:val="1E293B"/>
                <w:sz w:val="17"/>
              </w:rPr>
              <w:t>-1.96 to -0.47 cm/yr</w:t>
            </w:r>
          </w:p>
        </w:tc>
        <w:tc>
          <w:tcPr>
            <w:tcW w:type="dxa" w:w="1987"/>
            <w:tcMar>
              <w:top w:w="60" w:type="dxa"/>
              <w:bottom w:w="60" w:type="dxa"/>
              <w:left w:w="80" w:type="dxa"/>
              <w:right w:w="80" w:type="dxa"/>
            </w:tcMar>
            <w:shd w:fill="FFFFFF"/>
          </w:tcPr>
          <w:p>
            <w:pPr>
              <w:jc w:val="center"/>
            </w:pPr>
            <w:r>
              <w:rPr>
                <w:rFonts w:ascii="Arial" w:hAnsi="Arial"/>
                <w:color w:val="1E293B"/>
                <w:sz w:val="17"/>
              </w:rPr>
              <w:t>0.003</w:t>
            </w:r>
          </w:p>
        </w:tc>
        <w:tc>
          <w:tcPr>
            <w:tcW w:type="dxa" w:w="1987"/>
            <w:tcMar>
              <w:top w:w="60" w:type="dxa"/>
              <w:bottom w:w="60" w:type="dxa"/>
              <w:left w:w="80" w:type="dxa"/>
              <w:right w:w="80" w:type="dxa"/>
            </w:tcMar>
            <w:shd w:fill="FFFFFF"/>
          </w:tcPr>
          <w:p>
            <w:pPr>
              <w:jc w:val="left"/>
            </w:pPr>
            <w:r>
              <w:rPr>
                <w:rFonts w:ascii="Arial" w:hAnsi="Arial"/>
                <w:color w:val="1E293B"/>
                <w:sz w:val="17"/>
              </w:rPr>
              <w:t>Moderate downward trend</w:t>
            </w:r>
          </w:p>
        </w:tc>
      </w:tr>
      <w:tr>
        <w:tc>
          <w:tcPr>
            <w:tcW w:type="dxa" w:w="1987"/>
            <w:tcMar>
              <w:top w:w="60" w:type="dxa"/>
              <w:bottom w:w="60" w:type="dxa"/>
              <w:left w:w="80" w:type="dxa"/>
              <w:right w:w="80" w:type="dxa"/>
            </w:tcMar>
            <w:shd w:fill="F8FAFC"/>
          </w:tcPr>
          <w:p>
            <w:pPr>
              <w:jc w:val="left"/>
            </w:pPr>
            <w:r>
              <w:rPr>
                <w:rFonts w:ascii="Arial" w:hAnsi="Arial"/>
                <w:color w:val="1E293B"/>
                <w:sz w:val="17"/>
              </w:rPr>
              <w:t>Sylhet</w:t>
            </w:r>
          </w:p>
        </w:tc>
        <w:tc>
          <w:tcPr>
            <w:tcW w:type="dxa" w:w="1987"/>
            <w:tcMar>
              <w:top w:w="60" w:type="dxa"/>
              <w:bottom w:w="60" w:type="dxa"/>
              <w:left w:w="80" w:type="dxa"/>
              <w:right w:w="80" w:type="dxa"/>
            </w:tcMar>
            <w:shd w:fill="F8FAFC"/>
          </w:tcPr>
          <w:p>
            <w:pPr>
              <w:jc w:val="center"/>
            </w:pPr>
            <w:r>
              <w:rPr>
                <w:rFonts w:ascii="Arial" w:hAnsi="Arial"/>
                <w:color w:val="1E293B"/>
                <w:sz w:val="17"/>
              </w:rPr>
              <w:t>-0.44 cm/yr</w:t>
            </w:r>
          </w:p>
        </w:tc>
        <w:tc>
          <w:tcPr>
            <w:tcW w:type="dxa" w:w="1987"/>
            <w:tcMar>
              <w:top w:w="60" w:type="dxa"/>
              <w:bottom w:w="60" w:type="dxa"/>
              <w:left w:w="80" w:type="dxa"/>
              <w:right w:w="80" w:type="dxa"/>
            </w:tcMar>
            <w:shd w:fill="F8FAFC"/>
          </w:tcPr>
          <w:p>
            <w:pPr>
              <w:jc w:val="center"/>
            </w:pPr>
            <w:r>
              <w:rPr>
                <w:rFonts w:ascii="Arial" w:hAnsi="Arial"/>
                <w:color w:val="1E293B"/>
                <w:sz w:val="17"/>
              </w:rPr>
              <w:t>-1.09 to +0.29 cm/yr</w:t>
            </w:r>
          </w:p>
        </w:tc>
        <w:tc>
          <w:tcPr>
            <w:tcW w:type="dxa" w:w="1987"/>
            <w:tcMar>
              <w:top w:w="60" w:type="dxa"/>
              <w:bottom w:w="60" w:type="dxa"/>
              <w:left w:w="80" w:type="dxa"/>
              <w:right w:w="80" w:type="dxa"/>
            </w:tcMar>
            <w:shd w:fill="F8FAFC"/>
          </w:tcPr>
          <w:p>
            <w:pPr>
              <w:jc w:val="center"/>
            </w:pPr>
            <w:r>
              <w:rPr>
                <w:rFonts w:ascii="Arial" w:hAnsi="Arial"/>
                <w:color w:val="1E293B"/>
                <w:sz w:val="17"/>
              </w:rPr>
              <w:t>0.223</w:t>
            </w:r>
          </w:p>
        </w:tc>
        <w:tc>
          <w:tcPr>
            <w:tcW w:type="dxa" w:w="1987"/>
            <w:tcMar>
              <w:top w:w="60" w:type="dxa"/>
              <w:bottom w:w="60" w:type="dxa"/>
              <w:left w:w="80" w:type="dxa"/>
              <w:right w:w="80" w:type="dxa"/>
            </w:tcMar>
            <w:shd w:fill="F8FAFC"/>
          </w:tcPr>
          <w:p>
            <w:pPr>
              <w:jc w:val="left"/>
            </w:pPr>
            <w:r>
              <w:rPr>
                <w:rFonts w:ascii="Arial" w:hAnsi="Arial"/>
                <w:color w:val="1E293B"/>
                <w:sz w:val="17"/>
              </w:rPr>
              <w:t>No clear trend (stable)</w:t>
            </w:r>
          </w:p>
        </w:tc>
      </w:tr>
      <w:tr>
        <w:tc>
          <w:tcPr>
            <w:tcW w:type="dxa" w:w="1987"/>
            <w:tcMar>
              <w:top w:w="60" w:type="dxa"/>
              <w:bottom w:w="60" w:type="dxa"/>
              <w:left w:w="80" w:type="dxa"/>
              <w:right w:w="80" w:type="dxa"/>
            </w:tcMar>
            <w:shd w:fill="FFFFFF"/>
          </w:tcPr>
          <w:p>
            <w:pPr>
              <w:jc w:val="left"/>
            </w:pPr>
            <w:r>
              <w:rPr>
                <w:rFonts w:ascii="Arial" w:hAnsi="Arial"/>
                <w:color w:val="1E293B"/>
                <w:sz w:val="17"/>
              </w:rPr>
              <w:t>Khulna</w:t>
            </w:r>
          </w:p>
        </w:tc>
        <w:tc>
          <w:tcPr>
            <w:tcW w:type="dxa" w:w="1987"/>
            <w:tcMar>
              <w:top w:w="60" w:type="dxa"/>
              <w:bottom w:w="60" w:type="dxa"/>
              <w:left w:w="80" w:type="dxa"/>
              <w:right w:w="80" w:type="dxa"/>
            </w:tcMar>
            <w:shd w:fill="FFFFFF"/>
          </w:tcPr>
          <w:p>
            <w:pPr>
              <w:jc w:val="center"/>
            </w:pPr>
            <w:r>
              <w:rPr>
                <w:rFonts w:ascii="Arial" w:hAnsi="Arial"/>
                <w:color w:val="1E293B"/>
                <w:sz w:val="17"/>
              </w:rPr>
              <w:t>-0.38 cm/yr</w:t>
            </w:r>
          </w:p>
        </w:tc>
        <w:tc>
          <w:tcPr>
            <w:tcW w:type="dxa" w:w="1987"/>
            <w:tcMar>
              <w:top w:w="60" w:type="dxa"/>
              <w:bottom w:w="60" w:type="dxa"/>
              <w:left w:w="80" w:type="dxa"/>
              <w:right w:w="80" w:type="dxa"/>
            </w:tcMar>
            <w:shd w:fill="FFFFFF"/>
          </w:tcPr>
          <w:p>
            <w:pPr>
              <w:jc w:val="center"/>
            </w:pPr>
            <w:r>
              <w:rPr>
                <w:rFonts w:ascii="Arial" w:hAnsi="Arial"/>
                <w:color w:val="1E293B"/>
                <w:sz w:val="17"/>
              </w:rPr>
              <w:t>-0.82 to +0.06 cm/yr</w:t>
            </w:r>
          </w:p>
        </w:tc>
        <w:tc>
          <w:tcPr>
            <w:tcW w:type="dxa" w:w="1987"/>
            <w:tcMar>
              <w:top w:w="60" w:type="dxa"/>
              <w:bottom w:w="60" w:type="dxa"/>
              <w:left w:w="80" w:type="dxa"/>
              <w:right w:w="80" w:type="dxa"/>
            </w:tcMar>
            <w:shd w:fill="FFFFFF"/>
          </w:tcPr>
          <w:p>
            <w:pPr>
              <w:jc w:val="center"/>
            </w:pPr>
            <w:r>
              <w:rPr>
                <w:rFonts w:ascii="Arial" w:hAnsi="Arial"/>
                <w:color w:val="1E293B"/>
                <w:sz w:val="17"/>
              </w:rPr>
              <w:t>0.086</w:t>
            </w:r>
          </w:p>
        </w:tc>
        <w:tc>
          <w:tcPr>
            <w:tcW w:type="dxa" w:w="1987"/>
            <w:tcMar>
              <w:top w:w="60" w:type="dxa"/>
              <w:bottom w:w="60" w:type="dxa"/>
              <w:left w:w="80" w:type="dxa"/>
              <w:right w:w="80" w:type="dxa"/>
            </w:tcMar>
            <w:shd w:fill="FFFFFF"/>
          </w:tcPr>
          <w:p>
            <w:pPr>
              <w:jc w:val="left"/>
            </w:pPr>
            <w:r>
              <w:rPr>
                <w:rFonts w:ascii="Arial" w:hAnsi="Arial"/>
                <w:color w:val="1E293B"/>
                <w:sz w:val="17"/>
              </w:rPr>
              <w:t>No clear trend (stable)</w:t>
            </w:r>
          </w:p>
        </w:tc>
      </w:tr>
      <w:tr>
        <w:tc>
          <w:tcPr>
            <w:tcW w:type="dxa" w:w="1987"/>
            <w:tcMar>
              <w:top w:w="60" w:type="dxa"/>
              <w:bottom w:w="60" w:type="dxa"/>
              <w:left w:w="80" w:type="dxa"/>
              <w:right w:w="80" w:type="dxa"/>
            </w:tcMar>
            <w:shd w:fill="F8FAFC"/>
          </w:tcPr>
          <w:p>
            <w:pPr>
              <w:jc w:val="left"/>
            </w:pPr>
            <w:r>
              <w:rPr>
                <w:rFonts w:ascii="Arial" w:hAnsi="Arial"/>
                <w:color w:val="1E293B"/>
                <w:sz w:val="17"/>
              </w:rPr>
              <w:t>Barishal</w:t>
            </w:r>
          </w:p>
        </w:tc>
        <w:tc>
          <w:tcPr>
            <w:tcW w:type="dxa" w:w="1987"/>
            <w:tcMar>
              <w:top w:w="60" w:type="dxa"/>
              <w:bottom w:w="60" w:type="dxa"/>
              <w:left w:w="80" w:type="dxa"/>
              <w:right w:w="80" w:type="dxa"/>
            </w:tcMar>
            <w:shd w:fill="F8FAFC"/>
          </w:tcPr>
          <w:p>
            <w:pPr>
              <w:jc w:val="center"/>
            </w:pPr>
            <w:r>
              <w:rPr>
                <w:rFonts w:ascii="Arial" w:hAnsi="Arial"/>
                <w:color w:val="1E293B"/>
                <w:sz w:val="17"/>
              </w:rPr>
              <w:t>+0.30 cm/yr</w:t>
            </w:r>
          </w:p>
        </w:tc>
        <w:tc>
          <w:tcPr>
            <w:tcW w:type="dxa" w:w="1987"/>
            <w:tcMar>
              <w:top w:w="60" w:type="dxa"/>
              <w:bottom w:w="60" w:type="dxa"/>
              <w:left w:w="80" w:type="dxa"/>
              <w:right w:w="80" w:type="dxa"/>
            </w:tcMar>
            <w:shd w:fill="F8FAFC"/>
          </w:tcPr>
          <w:p>
            <w:pPr>
              <w:jc w:val="center"/>
            </w:pPr>
            <w:r>
              <w:rPr>
                <w:rFonts w:ascii="Arial" w:hAnsi="Arial"/>
                <w:color w:val="1E293B"/>
                <w:sz w:val="17"/>
              </w:rPr>
              <w:t>-0.29 to +0.89 cm/yr</w:t>
            </w:r>
          </w:p>
        </w:tc>
        <w:tc>
          <w:tcPr>
            <w:tcW w:type="dxa" w:w="1987"/>
            <w:tcMar>
              <w:top w:w="60" w:type="dxa"/>
              <w:bottom w:w="60" w:type="dxa"/>
              <w:left w:w="80" w:type="dxa"/>
              <w:right w:w="80" w:type="dxa"/>
            </w:tcMar>
            <w:shd w:fill="F8FAFC"/>
          </w:tcPr>
          <w:p>
            <w:pPr>
              <w:jc w:val="center"/>
            </w:pPr>
            <w:r>
              <w:rPr>
                <w:rFonts w:ascii="Arial" w:hAnsi="Arial"/>
                <w:color w:val="1E293B"/>
                <w:sz w:val="17"/>
              </w:rPr>
              <w:t>0.337</w:t>
            </w:r>
          </w:p>
        </w:tc>
        <w:tc>
          <w:tcPr>
            <w:tcW w:type="dxa" w:w="1987"/>
            <w:tcMar>
              <w:top w:w="60" w:type="dxa"/>
              <w:bottom w:w="60" w:type="dxa"/>
              <w:left w:w="80" w:type="dxa"/>
              <w:right w:w="80" w:type="dxa"/>
            </w:tcMar>
            <w:shd w:fill="F8FAFC"/>
          </w:tcPr>
          <w:p>
            <w:pPr>
              <w:jc w:val="left"/>
            </w:pPr>
            <w:r>
              <w:rPr>
                <w:rFonts w:ascii="Arial" w:hAnsi="Arial"/>
                <w:color w:val="1E293B"/>
                <w:sz w:val="17"/>
              </w:rPr>
              <w:t>No clear trend (stable)</w:t>
            </w:r>
          </w:p>
        </w:tc>
      </w:tr>
      <w:tr>
        <w:tc>
          <w:tcPr>
            <w:tcW w:type="dxa" w:w="1987"/>
            <w:tcMar>
              <w:top w:w="60" w:type="dxa"/>
              <w:bottom w:w="60" w:type="dxa"/>
              <w:left w:w="80" w:type="dxa"/>
              <w:right w:w="80" w:type="dxa"/>
            </w:tcMar>
            <w:shd w:fill="FFFFFF"/>
          </w:tcPr>
          <w:p>
            <w:pPr>
              <w:jc w:val="left"/>
            </w:pPr>
            <w:r>
              <w:rPr>
                <w:rFonts w:ascii="Arial" w:hAnsi="Arial"/>
                <w:color w:val="1E293B"/>
                <w:sz w:val="17"/>
              </w:rPr>
              <w:t>Chattogram</w:t>
            </w:r>
          </w:p>
        </w:tc>
        <w:tc>
          <w:tcPr>
            <w:tcW w:type="dxa" w:w="1987"/>
            <w:tcMar>
              <w:top w:w="60" w:type="dxa"/>
              <w:bottom w:w="60" w:type="dxa"/>
              <w:left w:w="80" w:type="dxa"/>
              <w:right w:w="80" w:type="dxa"/>
            </w:tcMar>
            <w:shd w:fill="FFFFFF"/>
          </w:tcPr>
          <w:p>
            <w:pPr>
              <w:jc w:val="center"/>
            </w:pPr>
            <w:r>
              <w:rPr>
                <w:rFonts w:ascii="Arial" w:hAnsi="Arial"/>
                <w:color w:val="1E293B"/>
                <w:sz w:val="17"/>
              </w:rPr>
              <w:t>+0.39 cm/yr</w:t>
            </w:r>
          </w:p>
        </w:tc>
        <w:tc>
          <w:tcPr>
            <w:tcW w:type="dxa" w:w="1987"/>
            <w:tcMar>
              <w:top w:w="60" w:type="dxa"/>
              <w:bottom w:w="60" w:type="dxa"/>
              <w:left w:w="80" w:type="dxa"/>
              <w:right w:w="80" w:type="dxa"/>
            </w:tcMar>
            <w:shd w:fill="FFFFFF"/>
          </w:tcPr>
          <w:p>
            <w:pPr>
              <w:jc w:val="center"/>
            </w:pPr>
            <w:r>
              <w:rPr>
                <w:rFonts w:ascii="Arial" w:hAnsi="Arial"/>
                <w:color w:val="1E293B"/>
                <w:sz w:val="17"/>
              </w:rPr>
              <w:t>+0.02 to +0.73 cm/yr</w:t>
            </w:r>
          </w:p>
        </w:tc>
        <w:tc>
          <w:tcPr>
            <w:tcW w:type="dxa" w:w="1987"/>
            <w:tcMar>
              <w:top w:w="60" w:type="dxa"/>
              <w:bottom w:w="60" w:type="dxa"/>
              <w:left w:w="80" w:type="dxa"/>
              <w:right w:w="80" w:type="dxa"/>
            </w:tcMar>
            <w:shd w:fill="FFFFFF"/>
          </w:tcPr>
          <w:p>
            <w:pPr>
              <w:jc w:val="center"/>
            </w:pPr>
            <w:r>
              <w:rPr>
                <w:rFonts w:ascii="Arial" w:hAnsi="Arial"/>
                <w:color w:val="1E293B"/>
                <w:sz w:val="17"/>
              </w:rPr>
              <w:t>0.038</w:t>
            </w:r>
          </w:p>
        </w:tc>
        <w:tc>
          <w:tcPr>
            <w:tcW w:type="dxa" w:w="1987"/>
            <w:tcMar>
              <w:top w:w="60" w:type="dxa"/>
              <w:bottom w:w="60" w:type="dxa"/>
              <w:left w:w="80" w:type="dxa"/>
              <w:right w:w="80" w:type="dxa"/>
            </w:tcMar>
            <w:shd w:fill="FFFFFF"/>
          </w:tcPr>
          <w:p>
            <w:pPr>
              <w:jc w:val="left"/>
            </w:pPr>
            <w:r>
              <w:rPr>
                <w:rFonts w:ascii="Arial" w:hAnsi="Arial"/>
                <w:color w:val="1E293B"/>
                <w:sz w:val="17"/>
              </w:rPr>
              <w:t>Slight upward trend</w:t>
            </w:r>
          </w:p>
        </w:tc>
      </w:tr>
    </w:tbl>
    <w:p>
      <w:pPr>
        <w:spacing w:before="240" w:after="80"/>
        <w:jc w:val="center"/>
      </w:pPr>
      <w:r>
        <w:drawing>
          <wp:inline xmlns:a="http://schemas.openxmlformats.org/drawingml/2006/main" xmlns:pic="http://schemas.openxmlformats.org/drawingml/2006/picture">
            <wp:extent cx="5669280" cy="6213447"/>
            <wp:docPr id="1" name="Picture 1"/>
            <wp:cNvGraphicFramePr>
              <a:graphicFrameLocks noChangeAspect="1"/>
            </wp:cNvGraphicFramePr>
            <a:graphic>
              <a:graphicData uri="http://schemas.openxmlformats.org/drawingml/2006/picture">
                <pic:pic>
                  <pic:nvPicPr>
                    <pic:cNvPr id="0" name="divisional_trends.png"/>
                    <pic:cNvPicPr/>
                  </pic:nvPicPr>
                  <pic:blipFill>
                    <a:blip r:embed="rId9"/>
                    <a:stretch>
                      <a:fillRect/>
                    </a:stretch>
                  </pic:blipFill>
                  <pic:spPr>
                    <a:xfrm>
                      <a:off x="0" y="0"/>
                      <a:ext cx="5669280" cy="6213447"/>
                    </a:xfrm>
                    <a:prstGeom prst="rect"/>
                  </pic:spPr>
                </pic:pic>
              </a:graphicData>
            </a:graphic>
          </wp:inline>
        </w:drawing>
      </w:r>
    </w:p>
    <w:p>
      <w:pPr>
        <w:spacing w:before="40" w:after="200"/>
        <w:jc w:val="center"/>
      </w:pPr>
      <w:r>
        <w:rPr>
          <w:rFonts w:ascii="Arial" w:hAnsi="Arial"/>
          <w:i/>
          <w:color w:val="64748B"/>
          <w:sz w:val="17"/>
        </w:rPr>
        <w:t>Figure 1: Deseasonalized Water Storage Rates &amp; Trajectories by Division (2020–2026).</w:t>
      </w:r>
    </w:p>
    <w:p>
      <w:pPr>
        <w:keepNext/>
        <w:spacing w:before="280" w:after="80"/>
      </w:pPr>
      <w:r>
        <w:rPr>
          <w:rFonts w:ascii="Arial" w:hAnsi="Arial"/>
          <w:b/>
          <w:color w:val="1E3A8A"/>
          <w:sz w:val="26"/>
        </w:rPr>
        <w:t>2. Current Limitations</w:t>
      </w:r>
    </w:p>
    <w:p>
      <w:pPr>
        <w:spacing w:after="80"/>
      </w:pPr>
      <w:r>
        <w:t>Right now, our analysis has a few important gaps:</w:t>
      </w:r>
    </w:p>
    <w:p>
      <w:pPr>
        <w:pStyle w:val="ListBullet"/>
        <w:spacing w:after="60"/>
      </w:pPr>
      <w:r>
        <w:rPr>
          <w:b/>
          <w:color w:val="1E293B"/>
        </w:rPr>
        <w:t xml:space="preserve">Cannot separate groundwater from surface water: </w:t>
      </w:r>
      <w:r>
        <w:rPr>
          <w:color w:val="1E293B"/>
        </w:rPr>
        <w:t>GRACE satellites measure all water combined (rivers, wet soil, and underground water). We have not separated underground water from soil moisture and surface water yet.</w:t>
      </w:r>
    </w:p>
    <w:p>
      <w:pPr>
        <w:pStyle w:val="ListBullet"/>
        <w:spacing w:after="60"/>
      </w:pPr>
      <w:r>
        <w:rPr>
          <w:b/>
          <w:color w:val="1E293B"/>
        </w:rPr>
        <w:t xml:space="preserve">Low map resolution: </w:t>
      </w:r>
      <w:r>
        <w:rPr>
          <w:color w:val="1E293B"/>
        </w:rPr>
        <w:t>Each GRACE grid square is about 50 km wide. Smaller divisions like Barishal or Mymensingh only cover about 14 to 15 grid squares, so we cannot zoom in to the district or village level.</w:t>
      </w:r>
    </w:p>
    <w:p>
      <w:pPr>
        <w:pStyle w:val="ListBullet"/>
        <w:spacing w:after="60"/>
      </w:pPr>
      <w:r>
        <w:rPr>
          <w:b/>
          <w:color w:val="1E293B"/>
        </w:rPr>
        <w:t xml:space="preserve">Rainfall and water storage are analyzed separately: </w:t>
      </w:r>
      <w:r>
        <w:rPr>
          <w:color w:val="1E293B"/>
        </w:rPr>
        <w:t>We have scripts for rainfall and scripts for water storage, but we have not connected them statistically to see how many months it takes for rain to refill the ground.</w:t>
      </w:r>
    </w:p>
    <w:p>
      <w:pPr>
        <w:pStyle w:val="ListBullet"/>
        <w:spacing w:after="60"/>
      </w:pPr>
      <w:r>
        <w:rPr>
          <w:b/>
          <w:color w:val="1E293B"/>
        </w:rPr>
        <w:t xml:space="preserve">No farming or pumping data included: </w:t>
      </w:r>
      <w:r>
        <w:rPr>
          <w:color w:val="1E293B"/>
        </w:rPr>
        <w:t>Dry-season Boro rice farming (December to March) uses a lot of pumped groundwater in the north, but we have not added crop or well-pumping data to prove this is the main cause.</w:t>
      </w:r>
    </w:p>
    <w:p>
      <w:pPr>
        <w:keepNext/>
        <w:spacing w:before="280" w:after="80"/>
      </w:pPr>
      <w:r>
        <w:rPr>
          <w:rFonts w:ascii="Arial" w:hAnsi="Arial"/>
          <w:b/>
          <w:color w:val="1E3A8A"/>
          <w:sz w:val="26"/>
        </w:rPr>
        <w:t>3. Possible Next Steps (Where Should We Focus?)</w:t>
      </w:r>
    </w:p>
    <w:p>
      <w:pPr>
        <w:spacing w:after="120"/>
      </w:pPr>
      <w:r>
        <w:t>We want to make our project more useful and scientifically solid. Here are four directions we could take next:</w:t>
      </w:r>
    </w:p>
    <w:p>
      <w:pPr>
        <w:spacing w:before="80" w:after="40"/>
        <w:ind w:left="288"/>
      </w:pPr>
      <w:r>
        <w:rPr>
          <w:b/>
          <w:color w:val="1E3A8A"/>
        </w:rPr>
        <w:t xml:space="preserve">• Option A — Isolate groundwater using soil moisture data: </w:t>
      </w:r>
      <w:r>
        <w:rPr>
          <w:color w:val="1E293B"/>
        </w:rPr>
        <w:t>Combine our GRACE data with NASA GLDAS or ERA5 soil moisture data. By subtracting surface water and soil moisture, we can estimate how much actual groundwater is being lost.</w:t>
      </w:r>
    </w:p>
    <w:p>
      <w:pPr>
        <w:spacing w:before="80" w:after="40"/>
        <w:ind w:left="288"/>
      </w:pPr>
      <w:r>
        <w:rPr>
          <w:b/>
          <w:color w:val="1E3A8A"/>
        </w:rPr>
        <w:t xml:space="preserve">• Option B — Connect water loss to dry-season farming: </w:t>
      </w:r>
      <w:r>
        <w:rPr>
          <w:color w:val="1E293B"/>
        </w:rPr>
        <w:t>Add satellite crop data (MODIS vegetation data) and local irrigation statistics to check how closely northern water loss matches Boro rice irrigation in the dry winter months.</w:t>
      </w:r>
    </w:p>
    <w:p>
      <w:pPr>
        <w:spacing w:before="80" w:after="40"/>
        <w:ind w:left="288"/>
      </w:pPr>
      <w:r>
        <w:rPr>
          <w:b/>
          <w:color w:val="1E3A8A"/>
        </w:rPr>
        <w:t xml:space="preserve">• Option C — Measure how rain refills the ground: </w:t>
      </w:r>
      <w:r>
        <w:rPr>
          <w:color w:val="1E293B"/>
        </w:rPr>
        <w:t>Compare monthly rainfall against water storage changes to see how much rain actually soaks into the northern aquifers versus running off.</w:t>
      </w:r>
    </w:p>
    <w:p>
      <w:pPr>
        <w:spacing w:before="80" w:after="40"/>
        <w:ind w:left="288"/>
      </w:pPr>
      <w:r>
        <w:rPr>
          <w:b/>
          <w:color w:val="1E3A8A"/>
        </w:rPr>
        <w:t xml:space="preserve">• Option D — Focus on practical usefulness and local impact: </w:t>
      </w:r>
      <w:r>
        <w:rPr>
          <w:color w:val="1E293B"/>
        </w:rPr>
        <w:t>Instead of adding more satellite datasets, focus on comparing our results with local well measurements (from the Bangladesh Water Development Board) and making a clear, easy-to-read dashboard for local planners.</w:t>
      </w:r>
    </w:p>
    <w:p>
      <w:pPr>
        <w:keepNext/>
        <w:spacing w:before="280" w:after="80"/>
      </w:pPr>
      <w:r>
        <w:rPr>
          <w:rFonts w:ascii="Arial" w:hAnsi="Arial"/>
          <w:b/>
          <w:color w:val="1E3A8A"/>
          <w:sz w:val="26"/>
        </w:rPr>
        <w:t>4. Questions for Our Mentor</w:t>
      </w:r>
    </w:p>
    <w:p>
      <w:pPr>
        <w:spacing w:after="80"/>
        <w:ind w:left="288"/>
      </w:pPr>
      <w:r>
        <w:rPr>
          <w:b/>
          <w:color w:val="0284C7"/>
        </w:rPr>
        <w:t xml:space="preserve">1. </w:t>
      </w:r>
      <w:r>
        <w:rPr>
          <w:color w:val="1E293B"/>
        </w:rPr>
        <w:t>Out of Options A, B, C, and D, which direction do you think is the most realistic and valuable for us to pursue next?</w:t>
      </w:r>
    </w:p>
    <w:p>
      <w:pPr>
        <w:spacing w:after="80"/>
        <w:ind w:left="288"/>
      </w:pPr>
      <w:r>
        <w:rPr>
          <w:b/>
          <w:color w:val="0284C7"/>
        </w:rPr>
        <w:t xml:space="preserve">2. </w:t>
      </w:r>
      <w:r>
        <w:rPr>
          <w:color w:val="1E293B"/>
        </w:rPr>
        <w:t>Do you know if local groundwater well data (for example, from BWDB or BADC) is available so we can check our satellite numbers against real ground measurements?</w:t>
      </w:r>
    </w:p>
    <w:p>
      <w:pPr>
        <w:spacing w:after="80"/>
        <w:ind w:left="288"/>
      </w:pPr>
      <w:r>
        <w:rPr>
          <w:b/>
          <w:color w:val="0284C7"/>
        </w:rPr>
        <w:t xml:space="preserve">3. </w:t>
      </w:r>
      <w:r>
        <w:rPr>
          <w:color w:val="1E293B"/>
        </w:rPr>
        <w:t>How can we make this work genuinely useful for water management or agricultural planning in Bangladesh, rather than just another student data project?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