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75569"/>
          <w:sz w:val="24"/>
          <w:szCs w:val="24"/>
        </w:rPr>
        <w:t xml:space="preserve">FleetFlow TMS</w:t>
      </w:r>
    </w:p>
    <w:p>
      <w:pPr>
        <w:spacing w:after="120"/>
      </w:pPr>
      <w:r>
        <w:rPr>
          <w:b/>
          <w:bCs/>
          <w:color w:val="0F172A"/>
          <w:sz w:val="48"/>
          <w:szCs w:val="48"/>
        </w:rPr>
        <w:t xml:space="preserve">Competitive Landscape One-Pager</w:t>
      </w:r>
    </w:p>
    <w:p>
      <w:pPr>
        <w:spacing w:after="240"/>
      </w:pPr>
      <w:r>
        <w:rPr>
          <w:i/>
          <w:iCs/>
          <w:color w:val="64748B"/>
          <w:sz w:val="22"/>
          <w:szCs w:val="22"/>
        </w:rPr>
        <w:t xml:space="preserve">Where FleetFlow can credibly win against the 2026 SMB-trucking field</w:t>
      </w:r>
    </w:p>
    <w:p>
      <w:pPr>
        <w:pBdr>
          <w:bottom w:val="single" w:color="0F172A" w:sz="12" w:space="4"/>
        </w:pBdr>
        <w:spacing w:after="360"/>
      </w:pPr>
    </w:p>
    <w:p>
      <w:pPr>
        <w:pStyle w:val="Heading1"/>
      </w:pPr>
      <w:r>
        <w:t xml:space="preserve">1.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500"/>
        <w:gridCol w:w="1500"/>
        <w:gridCol w:w="1400"/>
        <w:gridCol w:w="1160"/>
      </w:tblGrid>
      <w:tr>
        <w:trPr>
          <w:tblHeader/>
        </w:trPr>
        <w:tc>
          <w:tcPr>
            <w:tcW w:type="dxa" w:w="11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pPr>
            <w:r>
              <w:rPr>
                <w:b/>
                <w:bCs/>
                <w:color w:val="FFFFFF"/>
                <w:sz w:val="20"/>
                <w:szCs w:val="20"/>
              </w:rPr>
              <w:t xml:space="preserve">Tier</w:t>
            </w:r>
          </w:p>
        </w:tc>
        <w:tc>
          <w:tcPr>
            <w:tcW w:type="dxa" w:w="17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pPr>
            <w:r>
              <w:rPr>
                <w:b/>
                <w:bCs/>
                <w:color w:val="FFFFFF"/>
                <w:sz w:val="20"/>
                <w:szCs w:val="20"/>
              </w:rPr>
              <w:t xml:space="preserve">Player</w:t>
            </w:r>
          </w:p>
        </w:tc>
        <w:tc>
          <w:tcPr>
            <w:tcW w:type="dxa" w:w="2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pPr>
            <w:r>
              <w:rPr>
                <w:b/>
                <w:bCs/>
                <w:color w:val="FFFFFF"/>
                <w:sz w:val="20"/>
                <w:szCs w:val="20"/>
              </w:rPr>
              <w:t xml:space="preserve">Positioning</w:t>
            </w:r>
          </w:p>
        </w:tc>
        <w:tc>
          <w:tcPr>
            <w:tcW w:type="dxa" w:w="15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pPr>
            <w:r>
              <w:rPr>
                <w:b/>
                <w:bCs/>
                <w:color w:val="FFFFFF"/>
                <w:sz w:val="20"/>
                <w:szCs w:val="20"/>
              </w:rPr>
              <w:t xml:space="preserve">Target</w:t>
            </w:r>
          </w:p>
        </w:tc>
        <w:tc>
          <w:tcPr>
            <w:tcW w:type="dxa" w:w="140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pPr>
            <w:r>
              <w:rPr>
                <w:b/>
                <w:bCs/>
                <w:color w:val="FFFFFF"/>
                <w:sz w:val="20"/>
                <w:szCs w:val="20"/>
              </w:rPr>
              <w:t xml:space="preserve">Public price</w:t>
            </w:r>
          </w:p>
        </w:tc>
        <w:tc>
          <w:tcPr>
            <w:tcW w:type="dxa" w:w="1160"/>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spacing w:after="0"/>
            </w:pPr>
            <w:r>
              <w:rPr>
                <w:b/>
                <w:bCs/>
                <w:color w:val="FFFFFF"/>
                <w:sz w:val="20"/>
                <w:szCs w:val="20"/>
              </w:rPr>
              <w:t xml:space="preserve">Known for</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Enterprise</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McLeod / Trimble TMW.Suite</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Heavyweight TMS suites for large carriers / 3PLs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100+ trucks, complex 3PLs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Quote-only</w:t>
            </w:r>
          </w:p>
        </w:tc>
        <w:tc>
          <w:tcPr>
            <w:tcW w:type="dxa" w:w="1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Accounting, settlements, EDI</w:t>
            </w:r>
          </w:p>
        </w:tc>
      </w:tr>
      <w:tr>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Enterprise</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MercuryGate</w:t>
            </w:r>
          </w:p>
        </w:tc>
        <w:tc>
          <w:tcPr>
            <w:tcW w:type="dxa"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Multimodal, global TMS for shippers/brokers/3PLs</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Mid-to-large enterprise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Quote-only</w:t>
            </w:r>
          </w:p>
        </w:tc>
        <w:tc>
          <w:tcPr>
            <w:tcW w:type="dxa" w:w="1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Multimodal optimization, broker workflows</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SMB TMS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AscendTMS</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"The free TMS" — freemium up to 3 users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Owner-ops, very small fleets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Free / $49–$149/user/mo</w:t>
            </w:r>
          </w:p>
        </w:tc>
        <w:tc>
          <w:tcPr>
            <w:tcW w:type="dxa" w:w="1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Freemium hook, 230+ features (tracking &amp; load boards paywalled)</w:t>
            </w:r>
          </w:p>
        </w:tc>
      </w:tr>
      <w:tr>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SMB TMS</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Tailwind (CargoWise)</w:t>
            </w:r>
          </w:p>
        </w:tc>
        <w:tc>
          <w:tcPr>
            <w:tcW w:type="dxa"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Cloud TMS for small carriers and brokers, under WiseTech</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1–25 trucks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Quote-only</w:t>
            </w:r>
          </w:p>
        </w:tc>
        <w:tc>
          <w:tcPr>
            <w:tcW w:type="dxa" w:w="1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Dispatch + invoicing + IFTA in one</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SMB TMS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Truckbase</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Modern UX TMS for growing asset carriers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5–50 trucks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Custom by fleet size</w:t>
            </w:r>
          </w:p>
        </w:tc>
        <w:tc>
          <w:tcPr>
            <w:tcW w:type="dxa" w:w="1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Capterra “best ease of use” — closest direct lookalike</w:t>
            </w:r>
          </w:p>
        </w:tc>
      </w:tr>
      <w:tr>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SMB TMS</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Axon</w:t>
            </w:r>
          </w:p>
        </w:tc>
        <w:tc>
          <w:tcPr>
            <w:tcW w:type="dxa"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Real-time integrated trucking software + accounting</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10–100 trucks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Quote-only (pricier)</w:t>
            </w:r>
          </w:p>
        </w:tc>
        <w:tc>
          <w:tcPr>
            <w:tcW w:type="dxa" w:w="1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Built-in IFTA, A/R, A/P, dispatch in one DB</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SMB TMS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PCS TMS / Strategy Live</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Established SMB-to-mid TMS for asset carriers and brokers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10–200 trucks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Quote-only</w:t>
            </w:r>
          </w:p>
        </w:tc>
        <w:tc>
          <w:tcPr>
            <w:tcW w:type="dxa" w:w="1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Strong settlements + driver pay; legacy UX</w:t>
            </w:r>
          </w:p>
        </w:tc>
      </w:tr>
      <w:tr>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Telematics-led</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Samsara</w:t>
            </w:r>
          </w:p>
        </w:tc>
        <w:tc>
          <w:tcPr>
            <w:tcW w:type="dxa"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Telematics platform expanding into TMS via partnerships</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10+ trucks; aggressive mid-market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~$27–$60/veh/mo, 36-mo lock-in</w:t>
            </w:r>
          </w:p>
        </w:tc>
        <w:tc>
          <w:tcPr>
            <w:tcW w:type="dxa" w:w="1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AI dashcams; TMS marketplace (XDS, Vektor, T3)</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Telematics-led</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Motive (ex-KeepTruckin)</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ELD/AI dashcam adding dispatch, spend, TMS partnerships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5–500 trucks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From ~$15/veh/mo</w:t>
            </w:r>
          </w:p>
        </w:tc>
        <w:tc>
          <w:tcPr>
            <w:tcW w:type="dxa" w:w="1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Driver app, AI safety, cards/spend</w:t>
            </w:r>
          </w:p>
        </w:tc>
      </w:tr>
      <w:tr>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Telematics-led</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Geotab</w:t>
            </w:r>
          </w:p>
        </w:tc>
        <w:tc>
          <w:tcPr>
            <w:tcW w:type="dxa"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Open telematics platform, hardware-first</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All sizes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From ~$10/veh/mo + hardware</w:t>
            </w:r>
          </w:p>
        </w:tc>
        <w:tc>
          <w:tcPr>
            <w:tcW w:type="dxa" w:w="1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Marketplace breadth, customization</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Marketplace</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DAT One</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Largest NA load board + rate intel</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Carriers + brokers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Carrier $54+/mo; broker $159–$399/mo</w:t>
            </w:r>
          </w:p>
        </w:tc>
        <w:tc>
          <w:tcPr>
            <w:tcW w:type="dxa" w:w="1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1.8M loads/trucks daily; owns ex-Convoy stack</w:t>
            </w:r>
          </w:p>
        </w:tc>
      </w:tr>
      <w:tr>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Marketplace</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Truckstop</w:t>
            </w:r>
          </w:p>
        </w:tc>
        <w:tc>
          <w:tcPr>
            <w:tcW w:type="dxa"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#2 load board + carrier vetting + broker TMS-lite</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Carriers + brokers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Tiered subs</w:t>
            </w:r>
          </w:p>
        </w:tc>
        <w:tc>
          <w:tcPr>
            <w:tcW w:type="dxa" w:w="1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pPr>
            <w:r>
              <w:t xml:space="preserve">RMIS-style vetting, factoring partners</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Hybrid</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Uber Freight / Loadsmart</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Brokerage platforms now selling SaaS TMS</w:t>
            </w:r>
          </w:p>
        </w:tc>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SMB to enterprise</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Quote-only</w:t>
            </w:r>
          </w:p>
        </w:tc>
        <w:tc>
          <w:tcPr>
            <w:tcW w:type="dxa" w:w="1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0"/>
            </w:pPr>
            <w:r>
              <w:t xml:space="preserve">Managed transportation + carrier TMS bundles</w:t>
            </w:r>
          </w:p>
        </w:tc>
      </w:tr>
    </w:tbl>
    <w:p>
      <w:pPr>
        <w:spacing w:after="120"/>
      </w:pPr>
      <w:r>
        <w:t xml:space="preserve"/>
      </w:r>
    </w:p>
    <w:p>
      <w:pPr>
        <w:spacing w:after="120"/>
      </w:pPr>
      <w:r>
        <w:rPr>
          <w:i/>
          <w:iCs/>
        </w:rPr>
        <w:t xml:space="preserve">Sources: Trimble TMW.Suite, MercuryGate (SelectHub), AscendTMS pricing (GetApp), Tailwind (ITQlick), Truckbase (Toro TMS roundup), Axon (TrustRadius), Samsara pricing (checkthat.ai), Samsara TMS Marketplace, Motive vs Samsara (wlius), Geotab review (tech.co), DAT pricing (G2 2026), Truckstop Load Board, Uber Freight analysis (Supply Chain Dive). Verified May 2026.</w:t>
      </w:r>
    </w:p>
    <w:p>
      <w:pPr>
        <w:pStyle w:val="Heading1"/>
      </w:pPr>
      <w:r>
        <w:t xml:space="preserve">2. Three positioning gaps FleetFlow could win on</w:t>
      </w:r>
    </w:p>
    <w:p>
      <w:pPr>
        <w:pStyle w:val="ListParagraph"/>
        <w:numPr>
          <w:ilvl w:val="0"/>
          <w:numId w:val="2"/>
        </w:numPr>
        <w:spacing w:after="80"/>
      </w:pPr>
      <w:r>
        <w:rPr>
          <w:b/>
          <w:bCs/>
        </w:rPr>
        <w:t xml:space="preserve">Compliance-automation-first UX for new-entrant carriers.</w:t>
      </w:r>
      <w:r>
        <w:t xml:space="preserve"> FMCSA logged 100k+ violations in 2025, audits average 6 findings, and 2026 splits Vehicle Maintenance into two CSA categories while tightening Clearinghouse reporting to 24 hours. Incumbents treat DQFs and Clearinghouse as bolt-on modules or third-party integrations; nobody ships a “compliance copilot” for the 3–10 truck fleet that has no safety director.</w:t>
      </w:r>
    </w:p>
    <w:p>
      <w:pPr>
        <w:pStyle w:val="ListParagraph"/>
        <w:numPr>
          <w:ilvl w:val="0"/>
          <w:numId w:val="2"/>
        </w:numPr>
        <w:spacing w:after="80"/>
      </w:pPr>
      <w:r>
        <w:rPr>
          <w:b/>
          <w:bCs/>
        </w:rPr>
        <w:t xml:space="preserve">AI load matching wired into the TMS for fleets under 10 trucks.</w:t>
      </w:r>
      <w:r>
        <w:t xml:space="preserve"> Marketplaces (DAT/Truckstop) own discovery but force carriers to bounce between tabs; SMB TMSs (Tailwind, Axon, PCS) embed boards but don’t optimize matches against live HOS, equipment, lane history, or deadhead. DAT now owns the ex-Convoy DFM tech but it’s gated behind their board subscription. A native “next best load” recommender with confidence and margin shown inside dispatch is still open at the SMB tier.</w:t>
      </w:r>
    </w:p>
    <w:p>
      <w:pPr>
        <w:pStyle w:val="ListParagraph"/>
        <w:numPr>
          <w:ilvl w:val="0"/>
          <w:numId w:val="2"/>
        </w:numPr>
        <w:spacing w:after="80"/>
      </w:pPr>
      <w:r>
        <w:rPr>
          <w:b/>
          <w:bCs/>
        </w:rPr>
        <w:t xml:space="preserve">Stripe-native same-day carrier settlement inside the broker workflow.</w:t>
      </w:r>
      <w:r>
        <w:t xml:space="preserve"> “Quick Pay” today is a 2–5% manual fee with 1–7 day cycles; the real-time freight-settlements market is growing ~18% CAGR and Stripe is named among the platforms enabling it. No SMB TMS yet ships one-click same-day pay with RTP/FedNow rails, KYB on the carrier, and lien/factoring checks rolled in — incumbents are accounting-centric, not payments-native.</w:t>
      </w:r>
    </w:p>
    <w:p>
      <w:pPr>
        <w:pStyle w:val="Heading1"/>
      </w:pPr>
      <w:r>
        <w:t xml:space="preserve">3. Three "don’t kid yourself" threats</w:t>
      </w:r>
    </w:p>
    <w:p>
      <w:pPr>
        <w:pStyle w:val="ListParagraph"/>
        <w:numPr>
          <w:ilvl w:val="0"/>
          <w:numId w:val="2"/>
        </w:numPr>
        <w:spacing w:after="80"/>
      </w:pPr>
      <w:r>
        <w:rPr>
          <w:b/>
          <w:bCs/>
        </w:rPr>
        <w:t xml:space="preserve">Samsara and Motive are colonizing dispatch from the truck up.</w:t>
      </w:r>
      <w:r>
        <w:t xml:space="preserve"> Samsara’s TMS marketplace already lists XDS, Vektor, T3 and others. Once a carrier signs a 36-month telematics contract, the TMS layer gets co-sold or absorbed. A standalone SMB TMS without telematics economics is structurally squeezed.</w:t>
      </w:r>
    </w:p>
    <w:p>
      <w:pPr>
        <w:pStyle w:val="ListParagraph"/>
        <w:numPr>
          <w:ilvl w:val="0"/>
          <w:numId w:val="2"/>
        </w:numPr>
        <w:spacing w:after="80"/>
      </w:pPr>
      <w:r>
        <w:rPr>
          <w:b/>
          <w:bCs/>
        </w:rPr>
        <w:t xml:space="preserve">AscendTMS is genuinely free for sub-3-user shops</w:t>
      </w:r>
      <w:r>
        <w:t xml:space="preserve"> and has 230+ features. The floor of the market is zero, so FleetFlow must justify a paid tier with workflows AscendTMS deliberately doesn’t ship (modern UX, automations, payments).</w:t>
      </w:r>
    </w:p>
    <w:p>
      <w:pPr>
        <w:pStyle w:val="ListParagraph"/>
        <w:numPr>
          <w:ilvl w:val="0"/>
          <w:numId w:val="2"/>
        </w:numPr>
        <w:spacing w:after="80"/>
      </w:pPr>
      <w:r>
        <w:rPr>
          <w:b/>
          <w:bCs/>
        </w:rPr>
        <w:t xml:space="preserve">The Base44 / no-code ceiling.</w:t>
      </w:r>
      <w:r>
        <w:t xml:space="preserve"> Real carriers will demand ELD/telematics webhooks, EDI 204/214/210, audit logs, role-based access, and SOC 2. No-code prototypes typically choke on multi-tenant data isolation, integration depth, and uptime SLAs — that ceiling lands well before 50-truck customers do.</w:t>
      </w:r>
    </w:p>
    <w:p>
      <w:pPr>
        <w:pStyle w:val="Heading1"/>
      </w:pPr>
      <w:r>
        <w:t xml:space="preserve">4. Recommended one-line positioning</w:t>
      </w:r>
    </w:p>
    <w:p>
      <w:pPr>
        <w:pBdr>
          <w:left w:val="single" w:color="0F172A" w:sz="24" w:space="12"/>
        </w:pBdr>
        <w:shd w:fill="F1F5F9" w:val="clear"/>
        <w:spacing w:after="240" w:before="120"/>
      </w:pPr>
      <w:r>
        <w:rPr>
          <w:b/>
          <w:bCs/>
          <w:color w:val="0F172A"/>
          <w:sz w:val="26"/>
          <w:szCs w:val="26"/>
        </w:rPr>
        <w:t xml:space="preserve">FleetFlow TMS — the dispatch hub that runs compliance, load matching, and same-day carrier pay on autopilot for fleets and brokers with 3 to 50 trucks.</w:t>
      </w:r>
    </w:p>
    <w:p>
      <w:pPr>
        <w:pStyle w:val="Heading1"/>
      </w:pPr>
      <w:r>
        <w:t xml:space="preserve">5. Implications for the MVP</w:t>
      </w:r>
    </w:p>
    <w:p>
      <w:pPr>
        <w:pStyle w:val="ListParagraph"/>
        <w:numPr>
          <w:ilvl w:val="0"/>
          <w:numId w:val="3"/>
        </w:numPr>
        <w:spacing w:after="60"/>
      </w:pPr>
      <w:r>
        <w:rPr>
          <w:b/>
          <w:bCs/>
        </w:rPr>
        <w:t xml:space="preserve">Pick carriers, not brokers, for v1.</w:t>
      </w:r>
      <w:r>
        <w:t xml:space="preserve"> Brokers care about margin and risk; carriers care about dispatch and getting paid. Mixed messaging in the meta description today.</w:t>
      </w:r>
    </w:p>
    <w:p>
      <w:pPr>
        <w:pStyle w:val="ListParagraph"/>
        <w:numPr>
          <w:ilvl w:val="0"/>
          <w:numId w:val="3"/>
        </w:numPr>
        <w:spacing w:after="60"/>
      </w:pPr>
      <w:r>
        <w:rPr>
          <w:b/>
          <w:bCs/>
        </w:rPr>
        <w:t xml:space="preserve">Price aggressively against AscendTMS’ free tier.</w:t>
      </w:r>
      <w:r>
        <w:t xml:space="preserve"> Anchor on $39–$49 per truck/mo with first-truck-free. AscendTMS proves carriers will pay above zero for modern UX — don’t leave that money on the table.</w:t>
      </w:r>
    </w:p>
    <w:p>
      <w:pPr>
        <w:pStyle w:val="ListParagraph"/>
        <w:numPr>
          <w:ilvl w:val="0"/>
          <w:numId w:val="3"/>
        </w:numPr>
        <w:spacing w:after="60"/>
      </w:pPr>
      <w:r>
        <w:rPr>
          <w:b/>
          <w:bCs/>
        </w:rPr>
        <w:t xml:space="preserve">Lead with the payments story.</w:t>
      </w:r>
      <w:r>
        <w:t xml:space="preserve"> Stripe is already loaded on the page — ship Quick Pay in v1.1 as the most defensible wedge against both telematics-led and accounting-led incumbents.</w:t>
      </w:r>
    </w:p>
    <w:p>
      <w:pPr>
        <w:pStyle w:val="ListParagraph"/>
        <w:numPr>
          <w:ilvl w:val="0"/>
          <w:numId w:val="3"/>
        </w:numPr>
        <w:spacing w:after="60"/>
      </w:pPr>
      <w:r>
        <w:rPr>
          <w:b/>
          <w:bCs/>
        </w:rPr>
        <w:t xml:space="preserve">Treat “automated compliance” as a marketing promise, not a feature.</w:t>
      </w:r>
      <w:r>
        <w:t xml:space="preserve"> Until you have a real DQF + Clearinghouse + IFTA story, walk that copy back to something defensible (“stays ahead of paperwork”, etc.).</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FleetFlow TMS — Prepared 2026-05-13 — Page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2026-05-14T04:38:35.399Z</dcterms:created>
  <dcterms:modified xsi:type="dcterms:W3CDTF">2026-05-14T04:38:35.399Z</dcterms:modified>
</cp:coreProperties>
</file>

<file path=docProps/custom.xml><?xml version="1.0" encoding="utf-8"?>
<Properties xmlns="http://schemas.openxmlformats.org/officeDocument/2006/custom-properties" xmlns:vt="http://schemas.openxmlformats.org/officeDocument/2006/docPropsVTypes"/>
</file>