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FleetFlow</w:t>
      </w:r>
      <w:r>
        <w:t xml:space="preserve"> </w:t>
      </w:r>
      <w:r>
        <w:t xml:space="preserve">TMS</w:t>
      </w:r>
      <w:r>
        <w:t xml:space="preserve"> </w:t>
      </w:r>
      <w:r>
        <w:t xml:space="preserve">—</w:t>
      </w:r>
      <w:r>
        <w:t xml:space="preserve"> </w:t>
      </w:r>
      <w:r>
        <w:t xml:space="preserve">Iteration</w:t>
      </w:r>
      <w:r>
        <w:t xml:space="preserve"> </w:t>
      </w:r>
      <w:r>
        <w:t xml:space="preserve">Pack</w:t>
      </w:r>
      <w:r>
        <w:t xml:space="preserve"> </w:t>
      </w:r>
      <w:r>
        <w:t xml:space="preserve">II</w:t>
      </w:r>
    </w:p>
    <w:p>
      <w:pPr>
        <w:pStyle w:val="Subtitle"/>
      </w:pPr>
      <w:r>
        <w:t xml:space="preserve">Legal</w:t>
      </w:r>
      <w:r>
        <w:t xml:space="preserve"> </w:t>
      </w:r>
      <w:r>
        <w:t xml:space="preserve">templates</w:t>
      </w:r>
      <w:r>
        <w:t xml:space="preserve"> </w:t>
      </w:r>
      <w:r>
        <w:t xml:space="preserve">·</w:t>
      </w:r>
      <w:r>
        <w:t xml:space="preserve"> </w:t>
      </w:r>
      <w:r>
        <w:t xml:space="preserve">GTM</w:t>
      </w:r>
      <w:r>
        <w:t xml:space="preserve"> </w:t>
      </w:r>
      <w:r>
        <w:t xml:space="preserve">(landing</w:t>
      </w:r>
      <w:r>
        <w:t xml:space="preserve"> </w:t>
      </w:r>
      <w:r>
        <w:t xml:space="preserve">+</w:t>
      </w:r>
      <w:r>
        <w:t xml:space="preserve"> </w:t>
      </w:r>
      <w:r>
        <w:t xml:space="preserve">outbound</w:t>
      </w:r>
      <w:r>
        <w:t xml:space="preserve"> </w:t>
      </w:r>
      <w:r>
        <w:t xml:space="preserve">+</w:t>
      </w:r>
      <w:r>
        <w:t xml:space="preserve"> </w:t>
      </w:r>
      <w:r>
        <w:t xml:space="preserve">deck)</w:t>
      </w:r>
      <w:r>
        <w:t xml:space="preserve"> </w:t>
      </w:r>
      <w:r>
        <w:t xml:space="preserve">·</w:t>
      </w:r>
      <w:r>
        <w:t xml:space="preserve"> </w:t>
      </w:r>
      <w:r>
        <w:t xml:space="preserve">DevOps</w:t>
      </w:r>
      <w:r>
        <w:t xml:space="preserve"> </w:t>
      </w:r>
      <w:r>
        <w:t xml:space="preserve">runbook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13,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iteration-pack-ii-overview"/>
      <w:r>
        <w:t xml:space="preserve">Iteration Pack II — Overview</w:t>
      </w:r>
      <w:bookmarkEnd w:id="20"/>
    </w:p>
    <w:p>
      <w:pPr>
        <w:pStyle w:val="FirstParagraph"/>
      </w:pPr>
      <w:r>
        <w:t xml:space="preserve">Wave 2 covers everything that isn’t core product engineering: the legal floor that has to exist before any paid customer touches Stripe, the go-to-market materials for design-partner recruitment and the seed round, and the operations runbook that gets the codebase from</w:t>
      </w:r>
      <w:r>
        <w:t xml:space="preserve"> </w:t>
      </w:r>
      <w:r>
        <w:t xml:space="preserve">“</w:t>
      </w:r>
      <w:r>
        <w:t xml:space="preserve">scaffold on disk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deployable to production.</w:t>
      </w:r>
      <w:r>
        <w:t xml:space="preserve">”</w:t>
      </w:r>
      <w:r>
        <w:t xml:space="preserve"> </w:t>
      </w:r>
      <w:r>
        <w:t xml:space="preserve">Three drop-in legal templates ship alongside this doc as separate markdown files for the lawyer’s red pen. The marketing landing page is shipped as a fully self-contained HTML file the founder can preview in a browser today and hand to a designer tomorrow.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p>
            <w:pPr>
              <w:pStyle w:val="Compact"/>
              <w:jc w:val="left"/>
            </w:pPr>
            <w:r>
              <w:t xml:space="preserve">ToS · Privacy Policy · DPA — drop-in 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legal/</w:t>
            </w:r>
            <w:r>
              <w:t xml:space="preserve"> </w:t>
            </w:r>
            <w:r>
              <w:t xml:space="preserve">markdown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GTM</w:t>
            </w:r>
          </w:p>
        </w:tc>
        <w:tc>
          <w:p>
            <w:pPr>
              <w:pStyle w:val="Compact"/>
              <w:jc w:val="left"/>
            </w:pPr>
            <w:r>
              <w:t xml:space="preserve">Landing copy · 3 cold-outbound emails · 12-slide deck outline</w:t>
            </w:r>
          </w:p>
        </w:tc>
        <w:tc>
          <w:p>
            <w:pPr>
              <w:pStyle w:val="Compact"/>
              <w:jc w:val="left"/>
            </w:pPr>
            <w:r>
              <w:t xml:space="preserve">Section 2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GTM</w:t>
            </w:r>
          </w:p>
        </w:tc>
        <w:tc>
          <w:p>
            <w:pPr>
              <w:pStyle w:val="Compact"/>
              <w:jc w:val="left"/>
            </w:pPr>
            <w:r>
              <w:t xml:space="preserve">Standalone marketing HTML preview (responsive, ~14kb, no deps)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fleetflow_landing.html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CI workflow, .env.example, Sentry init, Vercel runbook, Neon branch-per-PR, prod go-live checklist, incident response</w:t>
            </w:r>
          </w:p>
        </w:tc>
        <w:tc>
          <w:p>
            <w:pPr>
              <w:pStyle w:val="Compact"/>
              <w:jc w:val="left"/>
            </w:pPr>
            <w:r>
              <w:t xml:space="preserve">Section 3 below + scaffold code</w:t>
            </w:r>
          </w:p>
        </w:tc>
      </w:tr>
    </w:tbl>
    <w:p>
      <w:pPr>
        <w:pStyle w:val="Heading1"/>
      </w:pPr>
      <w:bookmarkStart w:id="21" w:name="legal-tos-privacy-dpa"/>
      <w:r>
        <w:t xml:space="preserve">1 · Legal — ToS, Privacy, DPA</w:t>
      </w:r>
      <w:bookmarkEnd w:id="21"/>
    </w:p>
    <w:p>
      <w:pPr>
        <w:pStyle w:val="FirstParagraph"/>
      </w:pPr>
      <w:r>
        <w:t xml:space="preserve">The three legal templates are written for a US-based Delaware LLC operating an SMB B2B SaaS that handles payments via Stripe (PCI SAQ-A), driver PII, and document uploads. Each one ships as a separate markdown file in</w:t>
      </w:r>
      <w:r>
        <w:t xml:space="preserve"> </w:t>
      </w:r>
      <w:r>
        <w:rPr>
          <w:rStyle w:val="VerbatimChar"/>
        </w:rPr>
        <w:t xml:space="preserve">legal/</w:t>
      </w:r>
      <w:r>
        <w:t xml:space="preserve"> </w:t>
      </w:r>
      <w:r>
        <w:t xml:space="preserve">so the founder can hand them straight to an attorney for review.</w:t>
      </w:r>
    </w:p>
    <w:p>
      <w:pPr>
        <w:pStyle w:val="BodyText"/>
      </w:pPr>
      <w:r>
        <w:rPr>
          <w:b/>
        </w:rPr>
        <w:t xml:space="preserve">Drop-in conventions:</w:t>
      </w:r>
      <w:r>
        <w:t xml:space="preserve"> </w:t>
      </w:r>
      <w:r>
        <w:t xml:space="preserve">- Every placeholder is wrapped in</w:t>
      </w:r>
      <w:r>
        <w:t xml:space="preserve"> </w:t>
      </w:r>
      <w:r>
        <w:rPr>
          <w:rStyle w:val="VerbatimChar"/>
        </w:rPr>
        <w:t xml:space="preserve">[BRACKETS]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[LEGAL_ENTITY_NAME]</w:t>
      </w:r>
      <w:r>
        <w:t xml:space="preserve">,</w:t>
      </w:r>
      <w:r>
        <w:t xml:space="preserve"> </w:t>
      </w:r>
      <w:r>
        <w:rPr>
          <w:rStyle w:val="VerbatimChar"/>
        </w:rPr>
        <w:t xml:space="preserve">[STATE]</w:t>
      </w:r>
      <w:r>
        <w:t xml:space="preserve">,</w:t>
      </w:r>
      <w:r>
        <w:t xml:space="preserve"> </w:t>
      </w:r>
      <w:r>
        <w:rPr>
          <w:rStyle w:val="VerbatimChar"/>
        </w:rPr>
        <w:t xml:space="preserve">[COUNTY]</w:t>
      </w:r>
      <w:r>
        <w:t xml:space="preserve">,</w:t>
      </w:r>
      <w:r>
        <w:t xml:space="preserve"> </w:t>
      </w:r>
      <w:r>
        <w:rPr>
          <w:rStyle w:val="VerbatimChar"/>
        </w:rPr>
        <w:t xml:space="preserve">[EFFECTIVE_DATE]</w:t>
      </w:r>
      <w:r>
        <w:t xml:space="preserve">,</w:t>
      </w:r>
      <w:r>
        <w:t xml:space="preserve"> </w:t>
      </w:r>
      <w:r>
        <w:rPr>
          <w:rStyle w:val="VerbatimChar"/>
        </w:rPr>
        <w:t xml:space="preserve">[BILLING_EMAIL]</w:t>
      </w:r>
      <w:r>
        <w:t xml:space="preserve">).</w:t>
      </w:r>
      <w:r>
        <w:t xml:space="preserve"> </w:t>
      </w:r>
      <w:r>
        <w:t xml:space="preserve">- All three start with a non-removable disclaimer banner: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Template only. Not legal advice. Have an attorney licensed in your jurisdiction review before publishing.</w:t>
      </w:r>
      <w:r>
        <w:rPr>
          <w:i/>
        </w:rPr>
        <w:t xml:space="preserve">”</w:t>
      </w:r>
      <w:r>
        <w:t xml:space="preserve"> </w:t>
      </w:r>
      <w:r>
        <w:t xml:space="preserve">- All three are deliberately commercially reasonable for a startup serving SMB carriers — NOT enterprise-procurement-grade. Sign-off path is</w:t>
      </w:r>
      <w:r>
        <w:t xml:space="preserve"> </w:t>
      </w:r>
      <w:r>
        <w:t xml:space="preserve">“</w:t>
      </w:r>
      <w:r>
        <w:t xml:space="preserve">lawyer reviews, you publish,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Fortune 500 redline cycles.</w:t>
      </w:r>
      <w:r>
        <w:t xml:space="preserve">”</w:t>
      </w:r>
    </w:p>
    <w:p>
      <w:pPr>
        <w:pStyle w:val="BodyText"/>
      </w:pPr>
      <w:r>
        <w:rPr>
          <w:b/>
        </w:rPr>
        <w:t xml:space="preserve">What is explicitly NOT in these templates</w:t>
      </w:r>
      <w:r>
        <w:t xml:space="preserve"> </w:t>
      </w:r>
      <w:r>
        <w:t xml:space="preserve">(call-outs for the lawyer):</w:t>
      </w:r>
      <w:r>
        <w:t xml:space="preserve"> </w:t>
      </w:r>
      <w:r>
        <w:t xml:space="preserve">- No claim of broad license to customer content beyond what’s needed to provide the Service.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we may use your data to train AI models</w:t>
      </w:r>
      <w:r>
        <w:t xml:space="preserve">”</w:t>
      </w:r>
      <w:r>
        <w:t xml:space="preserve"> </w:t>
      </w:r>
      <w:r>
        <w:t xml:space="preserve">overreach.</w:t>
      </w:r>
      <w:r>
        <w:t xml:space="preserve"> </w:t>
      </w:r>
      <w:r>
        <w:t xml:space="preserve">- No perpetual rights post-termination.</w:t>
      </w:r>
      <w:r>
        <w:t xml:space="preserve"> </w:t>
      </w:r>
      <w:r>
        <w:t xml:space="preserve">- No mandatory arbitration overreach — class-action waiver yes, but with a clear injunctive-relief carve-out.</w:t>
      </w:r>
    </w:p>
    <w:p>
      <w:pPr>
        <w:pStyle w:val="BodyText"/>
      </w:pPr>
      <w:r>
        <w:rPr>
          <w:b/>
        </w:rPr>
        <w:t xml:space="preserve">Key commercial positions worth knowing before the attorney call: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Liability cap:</w:t>
      </w:r>
      <w:r>
        <w:t xml:space="preserve"> </w:t>
      </w:r>
      <w:r>
        <w:t xml:space="preserve">trailing 12 months of fees, mutual.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SLA:</w:t>
      </w:r>
      <w:r>
        <w:t xml:space="preserve"> </w:t>
      </w:r>
      <w:r>
        <w:t xml:space="preserve">99.5% monthly target, exclusive remedy is service credits (5% of monthly fees per full additional percentage point missed beyond the first 0.5%, up to 25% cap).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Refunds:</w:t>
      </w:r>
      <w:r>
        <w:t xml:space="preserve"> </w:t>
      </w:r>
      <w:r>
        <w:t xml:space="preserve">14-day full refund on first paid charge, no questions. Prorated refund after that only for confirmed Service defects unfixable in a reasonable time.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Subprocessor change notice:</w:t>
      </w:r>
      <w:r>
        <w:t xml:space="preserve"> </w:t>
      </w:r>
      <w:r>
        <w:t xml:space="preserve">30 days, subscription to the subprocessor page constitutes valid notice.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incident notice:</w:t>
      </w:r>
      <w:r>
        <w:t xml:space="preserve"> </w:t>
      </w:r>
      <w:r>
        <w:t xml:space="preserve">within 72 hours of confirmation.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Retention windows:</w:t>
      </w:r>
      <w:r>
        <w:t xml:space="preserve"> </w:t>
      </w:r>
      <w:r>
        <w:t xml:space="preserve">90-day grace (read-write) → 1-year archive (read-only) → deletion within 30 days, with encrypted backups expiring on rolling schedule.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Audits:</w:t>
      </w:r>
      <w:r>
        <w:t xml:space="preserve"> </w:t>
      </w:r>
      <w:r>
        <w:t xml:space="preserve">SOC 2 + questionnaire by default; third-party audit at most once per year, NDA-bound, customer-paid.</w:t>
      </w:r>
    </w:p>
    <w:p>
      <w:pPr>
        <w:pStyle w:val="Heading1"/>
      </w:pPr>
      <w:bookmarkStart w:id="22" w:name="gtm-landing-outbound-deck"/>
      <w:r>
        <w:t xml:space="preserve">2 · GTM — Landing, outbound, deck</w:t>
      </w:r>
      <w:bookmarkEnd w:id="22"/>
    </w:p>
    <w:p>
      <w:pPr>
        <w:pStyle w:val="Heading2"/>
      </w:pPr>
      <w:bookmarkStart w:id="23" w:name="marketing-landing-copy-live-html-preview"/>
      <w:r>
        <w:t xml:space="preserve">2.1 Marketing landing — copy + live HTML preview</w:t>
      </w:r>
      <w:bookmarkEnd w:id="23"/>
    </w:p>
    <w:p>
      <w:pPr>
        <w:pStyle w:val="FirstParagraph"/>
      </w:pPr>
      <w:r>
        <w:t xml:space="preserve">The landing page lives at</w:t>
      </w:r>
      <w:r>
        <w:t xml:space="preserve"> </w:t>
      </w:r>
      <w:r>
        <w:rPr>
          <w:rStyle w:val="VerbatimChar"/>
        </w:rPr>
        <w:t xml:space="preserve">fleetflow_landing.html</w:t>
      </w:r>
      <w:r>
        <w:t xml:space="preserve"> </w:t>
      </w:r>
      <w:r>
        <w:t xml:space="preserve">in the workspace as a standalone, dependency-free HTML file. Open it in any browser — fully responsive, ~14 kb, no fonts loaded externally, no analytics, no tracking, dark navy + amber accent palette consistent with the brand voice (</w:t>
      </w:r>
      <w:r>
        <w:t xml:space="preserve">“</w:t>
      </w:r>
      <w:r>
        <w:t xml:space="preserve">practical, plain-English, builder-respect-builder</w:t>
      </w:r>
      <w:r>
        <w:t xml:space="preserve">”</w:t>
      </w:r>
      <w:r>
        <w:t xml:space="preserve">).</w:t>
      </w:r>
    </w:p>
    <w:p>
      <w:pPr>
        <w:pStyle w:val="Heading3"/>
      </w:pPr>
      <w:bookmarkStart w:id="24" w:name="hero"/>
      <w:r>
        <w:t xml:space="preserve">Hero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Headline:</w:t>
      </w:r>
      <w:r>
        <w:t xml:space="preserve"> </w:t>
      </w:r>
      <w:r>
        <w:t xml:space="preserve">Dispatch, compliance, and same-day pay — one screen.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Subhead:</w:t>
      </w:r>
      <w:r>
        <w:t xml:space="preserve"> </w:t>
      </w:r>
      <w:r>
        <w:t xml:space="preserve">FleetFlow is the dispatch hub for 3-to-50-truck fleets and brokers who are done running their business on Sheets, email threads, and a stack of paper BOLs.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Primary CTA:</w:t>
      </w:r>
      <w:r>
        <w:t xml:space="preserve"> </w:t>
      </w:r>
      <w:r>
        <w:t xml:space="preserve">Start the 30-day trial ·</w:t>
      </w:r>
      <w:r>
        <w:t xml:space="preserve"> </w:t>
      </w:r>
      <w:r>
        <w:rPr>
          <w:b/>
        </w:rPr>
        <w:t xml:space="preserve">Secondary CTA:</w:t>
      </w:r>
      <w:r>
        <w:t xml:space="preserve"> </w:t>
      </w:r>
      <w:r>
        <w:t xml:space="preserve">Book a 20-min walkthrough</w:t>
      </w:r>
    </w:p>
    <w:p>
      <w:pPr>
        <w:pStyle w:val="Heading3"/>
      </w:pPr>
      <w:bookmarkStart w:id="25" w:name="three-feature-blocks"/>
      <w:r>
        <w:t xml:space="preserve">Three feature blocks</w:t>
      </w:r>
      <w:bookmarkEnd w:id="25"/>
    </w:p>
    <w:p>
      <w:pPr>
        <w:pStyle w:val="FirstParagraph"/>
      </w:pPr>
      <w:r>
        <w:rPr>
          <w:b/>
        </w:rPr>
        <w:t xml:space="preserve">Load board to invoice in one tab</w:t>
      </w:r>
      <w:r>
        <w:t xml:space="preserve"> </w:t>
      </w:r>
      <w:r>
        <w:t xml:space="preserve">— Match a load, assign a driver, capture the signed BOL, trigger the invoice without re-typing anything.</w:t>
      </w:r>
      <w:r>
        <w:t xml:space="preserve"> </w:t>
      </w:r>
      <w:r>
        <w:rPr>
          <w:i/>
        </w:rPr>
        <w:t xml:space="preserve">Benefit: kill 4–6 hours of admin per truck per week.</w:t>
      </w:r>
    </w:p>
    <w:p>
      <w:pPr>
        <w:pStyle w:val="BodyText"/>
      </w:pPr>
      <w:r>
        <w:rPr>
          <w:b/>
        </w:rPr>
        <w:t xml:space="preserve">Compliance that nags itself</w:t>
      </w:r>
      <w:r>
        <w:t xml:space="preserve"> </w:t>
      </w:r>
      <w:r>
        <w:t xml:space="preserve">— HOS, IFTA quarter cutoffs, CDL expirations, and DOT medicals — we watch them and ping the right person at the right time.</w:t>
      </w:r>
      <w:r>
        <w:t xml:space="preserve"> </w:t>
      </w:r>
      <w:r>
        <w:rPr>
          <w:i/>
        </w:rPr>
        <w:t xml:space="preserve">Benefit: stop eating a $1,200 violation for a missed date.</w:t>
      </w:r>
    </w:p>
    <w:p>
      <w:pPr>
        <w:pStyle w:val="BodyText"/>
      </w:pPr>
      <w:r>
        <w:rPr>
          <w:b/>
        </w:rPr>
        <w:t xml:space="preserve">Same-day carrier pay</w:t>
      </w:r>
      <w:r>
        <w:t xml:space="preserve"> </w:t>
      </w:r>
      <w:r>
        <w:t xml:space="preserve">— Driver hits</w:t>
      </w:r>
      <w:r>
        <w:t xml:space="preserve"> </w:t>
      </w:r>
      <w:r>
        <w:t xml:space="preserve">“</w:t>
      </w:r>
      <w:r>
        <w:t xml:space="preserve">delivered,</w:t>
      </w:r>
      <w:r>
        <w:t xml:space="preserve">”</w:t>
      </w:r>
      <w:r>
        <w:t xml:space="preserve"> </w:t>
      </w:r>
      <w:r>
        <w:t xml:space="preserve">BOL clears, ACH lands the same business day — or next morning if it’s after 4pm ET.</w:t>
      </w:r>
      <w:r>
        <w:t xml:space="preserve"> </w:t>
      </w:r>
      <w:r>
        <w:rPr>
          <w:i/>
        </w:rPr>
        <w:t xml:space="preserve">Benefit: get paid 30–45 days faster than NET-30.</w:t>
      </w:r>
    </w:p>
    <w:p>
      <w:pPr>
        <w:pStyle w:val="Heading3"/>
      </w:pPr>
      <w:bookmarkStart w:id="26" w:name="how-it-works-three-steps"/>
      <w:r>
        <w:t xml:space="preserve">How it works (three steps)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Setup in 90 minutes</w:t>
      </w:r>
      <w:r>
        <w:t xml:space="preserve"> </w:t>
      </w:r>
      <w:r>
        <w:t xml:space="preserve">— CSV import or paste from Sheets; ELD, factoring, and bank ACH connected.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Dispatch from your phone</w:t>
      </w:r>
      <w:r>
        <w:t xml:space="preserve"> </w:t>
      </w:r>
      <w:r>
        <w:t xml:space="preserve">— Drivers get loads + BOL capture in the app; you see every truck and every doc from one board.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Get paid the day you deliver</w:t>
      </w:r>
      <w:r>
        <w:t xml:space="preserve"> </w:t>
      </w:r>
      <w:r>
        <w:t xml:space="preserve">— Signed BOL + rate con triggers the invoice; brokered loads route through ACH for same-day pay.</w:t>
      </w:r>
    </w:p>
    <w:p>
      <w:pPr>
        <w:pStyle w:val="Heading3"/>
      </w:pPr>
      <w:bookmarkStart w:id="27" w:name="pricing-block"/>
      <w:r>
        <w:t xml:space="preserve">Pricing block</w:t>
      </w:r>
      <w:bookmarkEnd w:id="27"/>
    </w:p>
    <w:p>
      <w:pPr>
        <w:pStyle w:val="FirstParagraph"/>
      </w:pPr>
      <w:r>
        <w:rPr>
          <w:b/>
        </w:rPr>
        <w:t xml:space="preserve">$45/truck/month list.</w:t>
      </w:r>
      <w:r>
        <w:t xml:space="preserve"> </w:t>
      </w:r>
      <w:r>
        <w:t xml:space="preserve">Founder rate:</w:t>
      </w:r>
      <w:r>
        <w:t xml:space="preserve"> </w:t>
      </w:r>
      <w:r>
        <w:rPr>
          <w:b/>
        </w:rPr>
        <w:t xml:space="preserve">$27/truck for life</w:t>
      </w:r>
      <w:r>
        <w:t xml:space="preserve"> </w:t>
      </w:r>
      <w:r>
        <w:t xml:space="preserve">for first 50 fleets. Free first year for design partners. No contracts, monthly billing, ACH preferred. Includes: unlimited users, ELD integration, IFTA, document storage, same-day ACH, driver PWA, text/phone support.</w:t>
      </w:r>
    </w:p>
    <w:p>
      <w:pPr>
        <w:pStyle w:val="Heading3"/>
      </w:pPr>
      <w:bookmarkStart w:id="28" w:name="X3cadec5b04e59b0733d8220931f6b31ddc92532"/>
      <w:r>
        <w:t xml:space="preserve">Five-question FAQ — covers ELD support, no-contract, IFTA/factoring, data security, and what-if-I-grow-past-50-trucks (per the GTM agent output, all five answers are in the live HTML).</w:t>
      </w:r>
      <w:bookmarkEnd w:id="28"/>
    </w:p>
    <w:p>
      <w:pPr>
        <w:pStyle w:val="Heading3"/>
      </w:pPr>
      <w:bookmarkStart w:id="29" w:name="final-cta"/>
      <w:r>
        <w:t xml:space="preserve">Final CTA</w:t>
      </w:r>
      <w:bookmarkEnd w:id="29"/>
    </w:p>
    <w:p>
      <w:pPr>
        <w:pStyle w:val="FirstParagraph"/>
      </w:pPr>
      <w:r>
        <w:rPr>
          <w:i/>
        </w:rPr>
        <w:t xml:space="preserve">Try it for 30 days. No card up front.</w:t>
      </w:r>
      <w:r>
        <w:t xml:space="preserve"> </w:t>
      </w:r>
      <w:r>
        <w:t xml:space="preserve">If FleetFlow doesn’t save 5 hours/week per dispatcher by day 14, we get on a call and either fix it or help you move back to Sheets — clean data export included.</w:t>
      </w:r>
    </w:p>
    <w:p>
      <w:pPr>
        <w:pStyle w:val="Heading2"/>
      </w:pPr>
      <w:bookmarkStart w:id="30" w:name="cold-outbound-email-3-variants"/>
      <w:r>
        <w:t xml:space="preserve">2.2 Cold outbound email — 3 variants</w:t>
      </w:r>
      <w:bookmarkEnd w:id="30"/>
    </w:p>
    <w:p>
      <w:pPr>
        <w:pStyle w:val="FirstParagraph"/>
      </w:pPr>
      <w:r>
        <w:t xml:space="preserve">Three sub-180-word variants for cold outreach to recent FMCSA MC-authority registrants (3–25 trucks, 30–90 days post-authority). No emojis, no</w:t>
      </w:r>
      <w:r>
        <w:t xml:space="preserve"> </w:t>
      </w:r>
      <w:r>
        <w:t xml:space="preserve">“</w:t>
      </w:r>
      <w:r>
        <w:t xml:space="preserve">circling back,</w:t>
      </w:r>
      <w:r>
        <w:t xml:space="preserve">”</w:t>
      </w:r>
      <w:r>
        <w:t xml:space="preserve"> </w:t>
      </w:r>
      <w:r>
        <w:t xml:space="preserve">no template-smell openers. Founder-signed.</w:t>
      </w:r>
    </w:p>
    <w:p>
      <w:pPr>
        <w:pStyle w:val="BodyText"/>
      </w:pPr>
      <w:r>
        <w:rPr>
          <w:b/>
        </w:rPr>
        <w:t xml:space="preserve">Variant A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Builder note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pStyle w:val="BlockText"/>
      </w:pPr>
      <w:r>
        <w:rPr>
          <w:b/>
        </w:rPr>
        <w:t xml:space="preserve">Subject:</w:t>
      </w:r>
      <w:r>
        <w:t xml:space="preserve"> </w:t>
      </w:r>
      <w:r>
        <w:t xml:space="preserve">quick note from a builder, not a sales pitch</w:t>
      </w:r>
    </w:p>
    <w:p>
      <w:pPr>
        <w:pStyle w:val="BlockText"/>
      </w:pPr>
      <w:r>
        <w:t xml:space="preserve">Hi [First Name],</w:t>
      </w:r>
    </w:p>
    <w:p>
      <w:pPr>
        <w:pStyle w:val="BlockText"/>
      </w:pPr>
      <w:r>
        <w:t xml:space="preserve">Saw [Carrier Name] got MC authority back in [Month]. Congrats — first 90 days are the hardest part.</w:t>
      </w:r>
    </w:p>
    <w:p>
      <w:pPr>
        <w:pStyle w:val="BlockText"/>
      </w:pPr>
      <w:r>
        <w:t xml:space="preserve">I’m building FleetFlow, a dispatch tool for 3-to-50-truck shops. I’m not pitching today. I’m trying to talk to ~15 carriers who got authority in the last 90 days about what’s actually broken in your week — the spreadsheets, the broker chase calls, the IFTA panic, all of it. Mostly so I stop building things nobody asked for.</w:t>
      </w:r>
    </w:p>
    <w:p>
      <w:pPr>
        <w:pStyle w:val="BlockText"/>
      </w:pPr>
      <w:r>
        <w:t xml:space="preserve">20 minutes on the phone, no slides. If anything I show you is useful, great. If not, you get a coffee on me and I go away.</w:t>
      </w:r>
    </w:p>
    <w:p>
      <w:pPr>
        <w:pStyle w:val="BlockText"/>
      </w:pPr>
      <w:r>
        <w:t xml:space="preserve">One concrete thing: our design partners are running dispatch and same-day pay from one screen and getting paid the day they deliver instead of NET-30. That’s the bet.</w:t>
      </w:r>
    </w:p>
    <w:p>
      <w:pPr>
        <w:pStyle w:val="BlockText"/>
      </w:pPr>
      <w:r>
        <w:t xml:space="preserve">Worth 20 minutes next week?</w:t>
      </w:r>
    </w:p>
    <w:p>
      <w:pPr>
        <w:pStyle w:val="BlockText"/>
      </w:pPr>
      <w:r>
        <w:t xml:space="preserve">— [Founder name], FleetFlow</w:t>
      </w:r>
      <w:r>
        <w:t xml:space="preserve"> </w:t>
      </w:r>
      <w:r>
        <w:t xml:space="preserve">[phone] | [calendar link]</w:t>
      </w:r>
    </w:p>
    <w:p>
      <w:pPr>
        <w:pStyle w:val="FirstParagraph"/>
      </w:pPr>
      <w:r>
        <w:rPr>
          <w:b/>
        </w:rPr>
        <w:t xml:space="preserve">Variant B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Specific pain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pStyle w:val="BlockText"/>
      </w:pPr>
      <w:r>
        <w:rPr>
          <w:b/>
        </w:rPr>
        <w:t xml:space="preserve">Subject:</w:t>
      </w:r>
      <w:r>
        <w:t xml:space="preserve"> </w:t>
      </w:r>
      <w:r>
        <w:t xml:space="preserve">how many tabs does your dispatch board have open right now</w:t>
      </w:r>
    </w:p>
    <w:p>
      <w:pPr>
        <w:pStyle w:val="BlockText"/>
      </w:pPr>
      <w:r>
        <w:t xml:space="preserve">Hi [First Name],</w:t>
      </w:r>
    </w:p>
    <w:p>
      <w:pPr>
        <w:pStyle w:val="BlockText"/>
      </w:pPr>
      <w:r>
        <w:t xml:space="preserve">Most 3-to-25-truck shops I talk to are running dispatch out of the same three tools: a Google Sheet for loads, Gmail for rate cons and BOLs, and a group text for the drivers. It works until it doesn’t — usually around truck #6 or the first time a driver delivers and the BOL goes missing for a week.</w:t>
      </w:r>
    </w:p>
    <w:p>
      <w:pPr>
        <w:pStyle w:val="BlockText"/>
      </w:pPr>
      <w:r>
        <w:t xml:space="preserve">That stack costs the average small carrier 4–6 hours per truck per week in admin, and 30–45 days of float waiting on broker NET-30.</w:t>
      </w:r>
    </w:p>
    <w:p>
      <w:pPr>
        <w:pStyle w:val="BlockText"/>
      </w:pPr>
      <w:r>
        <w:t xml:space="preserve">FleetFlow puts dispatch, BOL capture, and same-day ACH pay on one screen. Design partners are getting back about a day a week and hitting same-day payout on 70%+ of loads.</w:t>
      </w:r>
    </w:p>
    <w:p>
      <w:pPr>
        <w:pStyle w:val="BlockText"/>
      </w:pPr>
      <w:r>
        <w:t xml:space="preserve">If that’s a problem worth 15 minutes, I’ll show you the dispatch board — no deck, just the product.</w:t>
      </w:r>
    </w:p>
    <w:p>
      <w:pPr>
        <w:pStyle w:val="BlockText"/>
      </w:pPr>
      <w:r>
        <w:t xml:space="preserve">[Calendar link]</w:t>
      </w:r>
    </w:p>
    <w:p>
      <w:pPr>
        <w:pStyle w:val="BlockText"/>
      </w:pPr>
      <w:r>
        <w:t xml:space="preserve">— [Founder name], FleetFlow</w:t>
      </w:r>
      <w:r>
        <w:t xml:space="preserve"> </w:t>
      </w:r>
      <w:r>
        <w:t xml:space="preserve">[phone]</w:t>
      </w:r>
    </w:p>
    <w:p>
      <w:pPr>
        <w:pStyle w:val="FirstParagraph"/>
      </w:pPr>
      <w:r>
        <w:rPr>
          <w:b/>
        </w:rPr>
        <w:t xml:space="preserve">Variant C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Founder discount hook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pStyle w:val="BlockText"/>
      </w:pPr>
      <w:r>
        <w:rPr>
          <w:b/>
        </w:rPr>
        <w:t xml:space="preserve">Subject:</w:t>
      </w:r>
      <w:r>
        <w:t xml:space="preserve"> </w:t>
      </w:r>
      <w:r>
        <w:t xml:space="preserve">40% off for life + free first year — 12 spots left</w:t>
      </w:r>
    </w:p>
    <w:p>
      <w:pPr>
        <w:pStyle w:val="BlockText"/>
      </w:pPr>
      <w:r>
        <w:t xml:space="preserve">Hi [First Name],</w:t>
      </w:r>
    </w:p>
    <w:p>
      <w:pPr>
        <w:pStyle w:val="BlockText"/>
      </w:pPr>
      <w:r>
        <w:t xml:space="preserve">Short version: we’re FleetFlow, a TMS for 3-to-50-truck carriers and brokers. We’re picking the next 12 design partners and locking them in at</w:t>
      </w:r>
      <w:r>
        <w:t xml:space="preserve"> </w:t>
      </w:r>
      <w:r>
        <w:rPr>
          <w:b/>
        </w:rPr>
        <w:t xml:space="preserve">$27/truck/month for life</w:t>
      </w:r>
      <w:r>
        <w:t xml:space="preserve"> </w:t>
      </w:r>
      <w:r>
        <w:t xml:space="preserve">(list is $45). First year is free if you’ll do a 30-minute call with me each month while we build out features for shops your size.</w:t>
      </w:r>
    </w:p>
    <w:p>
      <w:pPr>
        <w:pStyle w:val="BlockText"/>
      </w:pPr>
      <w:r>
        <w:t xml:space="preserve">You got MC authority [N] days ago — that’s the right window for this. You’re past the chaos of week one but not so deep into a workflow that switching tools is painful.</w:t>
      </w:r>
    </w:p>
    <w:p>
      <w:pPr>
        <w:pStyle w:val="BlockText"/>
      </w:pPr>
      <w:r>
        <w:t xml:space="preserve">What you get: dispatch board, ELD integration, IFTA mileage, driver mobile app, and same-day ACH pay on delivered loads. What I get: a real operator telling me what’s broken before we go GA.</w:t>
      </w:r>
    </w:p>
    <w:p>
      <w:pPr>
        <w:pStyle w:val="BlockText"/>
      </w:pPr>
      <w:r>
        <w:t xml:space="preserve">Want one of the spots? 20-minute call, no deck.</w:t>
      </w:r>
    </w:p>
    <w:p>
      <w:pPr>
        <w:pStyle w:val="BlockText"/>
      </w:pPr>
      <w:r>
        <w:t xml:space="preserve">[Calendar link]</w:t>
      </w:r>
    </w:p>
    <w:p>
      <w:pPr>
        <w:pStyle w:val="BlockText"/>
      </w:pPr>
      <w:r>
        <w:t xml:space="preserve">— [Founder name], Founder, FleetFlow</w:t>
      </w:r>
      <w:r>
        <w:t xml:space="preserve"> </w:t>
      </w:r>
      <w:r>
        <w:t xml:space="preserve">[phone]</w:t>
      </w:r>
    </w:p>
    <w:p>
      <w:pPr>
        <w:pStyle w:val="Heading2"/>
      </w:pPr>
      <w:bookmarkStart w:id="31" w:name="founder-pitch-deck-12-slides"/>
      <w:r>
        <w:t xml:space="preserve">2.3 Founder pitch deck — 12 slides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must land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 / one-liner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The dispatch hub that runs compliance, load matching, and same-day pay for 3-to-50-truck carriers and brokers.</w:t>
            </w:r>
            <w:r>
              <w:t xml:space="preserve">”</w:t>
            </w:r>
            <w:r>
              <w:t xml:space="preserve"> </w:t>
            </w:r>
            <w:r>
              <w:t xml:space="preserve">Round size + contact.</w:t>
            </w:r>
          </w:p>
        </w:tc>
        <w:tc>
          <w:p>
            <w:pPr>
              <w:pStyle w:val="Compact"/>
              <w:jc w:val="left"/>
            </w:pPr>
            <w:r>
              <w:t xml:space="preserve">This is a focused SMB trucking software company, not another generic logistics platform.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problem</w:t>
            </w:r>
            <w:r>
              <w:t xml:space="preserve"> </w:t>
            </w:r>
            <w:r>
              <w:t xml:space="preserve">— 250k+ US carriers have 3–50 trucks. 10-truck shop loses 4–6 hrs/truck/week to admin, waits 30–45 days to get paid. DOT/HOS/IFTA violations $1,200–$3,500, almost always a missed calendar reminder.</w:t>
            </w:r>
          </w:p>
        </w:tc>
        <w:tc>
          <w:p>
            <w:pPr>
              <w:pStyle w:val="Compact"/>
              <w:jc w:val="left"/>
            </w:pPr>
            <w:r>
              <w:t xml:space="preserve">Real, quantified, recurring pain — not a</w:t>
            </w:r>
            <w:r>
              <w:t xml:space="preserve"> </w:t>
            </w:r>
            <w:r>
              <w:t xml:space="preserve">“</w:t>
            </w:r>
            <w:r>
              <w:t xml:space="preserve">wouldn’t it be nice.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Who has the problem</w:t>
            </w:r>
            <w:r>
              <w:t xml:space="preserve"> </w:t>
            </w:r>
            <w:r>
              <w:t xml:space="preserve">— owner-operator or dispatcher-owner running 3–50 power units, often the same person. Hates current setup, skeptical of</w:t>
            </w:r>
            <w:r>
              <w:t xml:space="preserve"> </w:t>
            </w:r>
            <w:r>
              <w:t xml:space="preserve">“</w:t>
            </w:r>
            <w:r>
              <w:t xml:space="preserve">TMS</w:t>
            </w:r>
            <w:r>
              <w:t xml:space="preserve">”</w:t>
            </w:r>
            <w:r>
              <w:t xml:space="preserve"> </w:t>
            </w:r>
            <w:r>
              <w:t xml:space="preserve">(looks like 2003 enterprise software or costs $300/truck).</w:t>
            </w:r>
          </w:p>
        </w:tc>
        <w:tc>
          <w:p>
            <w:pPr>
              <w:pStyle w:val="Compact"/>
              <w:jc w:val="left"/>
            </w:pPr>
            <w:r>
              <w:t xml:space="preserve">We know exactly who this is and aren’t chasing enterprise.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Why now</w:t>
            </w:r>
            <w:r>
              <w:t xml:space="preserve"> </w:t>
            </w:r>
            <w:r>
              <w:t xml:space="preserve">— FMCSA registration changes (2024–2026) bringing new small-carrier authorities + tighter compliance enforcement. Convoy collapse + digital-broker churn pushed thousands back to direct/brokered work. Stripe RTP + FedNow make same-day pay economically viable at SaaS pricing for the first time.</w:t>
            </w:r>
          </w:p>
        </w:tc>
        <w:tc>
          <w:p>
            <w:pPr>
              <w:pStyle w:val="Compact"/>
              <w:jc w:val="left"/>
            </w:pPr>
            <w:r>
              <w:t xml:space="preserve">Window did not exist 24 months ago, won’t stay open forever.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we do</w:t>
            </w:r>
            <w:r>
              <w:t xml:space="preserve"> </w:t>
            </w:r>
            <w:r>
              <w:t xml:space="preserve">— Single board: loads → dispatch → BOL on driver’s phone → invoice → ACH same business day. Compliance engine watches HOS/IFTA/CDL/DOT medical. Screenshot placeholder of dispatch board with one load moving status.</w:t>
            </w:r>
          </w:p>
        </w:tc>
        <w:tc>
          <w:p>
            <w:pPr>
              <w:pStyle w:val="Compact"/>
              <w:jc w:val="left"/>
            </w:pPr>
            <w:r>
              <w:t xml:space="preserve">The product is a tight closed loop, not a feature dump.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Why we win</w:t>
            </w:r>
            <w:r>
              <w:t xml:space="preserve"> </w:t>
            </w:r>
            <w:r>
              <w:t xml:space="preserve">— McLeod/TMW: enterprise, $300+/truck, weeks to onboard. AscendTMS: cheap but no payments rail. Samsara: telematics-first, doesn’t pay carriers. Our wedge: compliance + matching + same-day pay in one screen at $45/truck.</w:t>
            </w:r>
          </w:p>
        </w:tc>
        <w:tc>
          <w:p>
            <w:pPr>
              <w:pStyle w:val="Compact"/>
              <w:jc w:val="left"/>
            </w:pPr>
            <w:r>
              <w:t xml:space="preserve">We aren’t</w:t>
            </w:r>
            <w:r>
              <w:t xml:space="preserve"> </w:t>
            </w:r>
            <w:r>
              <w:t xml:space="preserve">“</w:t>
            </w:r>
            <w:r>
              <w:t xml:space="preserve">another TMS</w:t>
            </w:r>
            <w:r>
              <w:t xml:space="preserve">”</w:t>
            </w:r>
            <w:r>
              <w:t xml:space="preserve">; we own a defensible niche with a payments moat.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Traction / alpha</w:t>
            </w:r>
            <w:r>
              <w:t xml:space="preserve"> </w:t>
            </w:r>
            <w:r>
              <w:t xml:space="preserve">— 3 design-partner carriers live, 1 brokerage in pilot. 5.2 hrs/truck/week saved avg, 71% loads paid same business day, NPS [N] from 4 weeks. 14 inbound demo requests in last 30 days.</w:t>
            </w:r>
          </w:p>
        </w:tc>
        <w:tc>
          <w:p>
            <w:pPr>
              <w:pStyle w:val="Compact"/>
              <w:jc w:val="left"/>
            </w:pPr>
            <w:r>
              <w:t xml:space="preserve">Real fleets using it; numbers move.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model + pricing</w:t>
            </w:r>
            <w:r>
              <w:t xml:space="preserve"> </w:t>
            </w:r>
            <w:r>
              <w:t xml:space="preserve">— $45/truck list, founder cohort $27/truck for life (first 50). No contracts, monthly billing, ACH-preferred. Secondary revenue: small disclosed spread on same-day ACH payouts.</w:t>
            </w:r>
          </w:p>
        </w:tc>
        <w:tc>
          <w:p>
            <w:pPr>
              <w:pStyle w:val="Compact"/>
              <w:jc w:val="left"/>
            </w:pPr>
            <w:r>
              <w:t xml:space="preserve">Simple, honest, gross-margin-friendly.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size</w:t>
            </w:r>
            <w:r>
              <w:t xml:space="preserve"> </w:t>
            </w:r>
            <w:r>
              <w:t xml:space="preserve">— TAM ~$2.3B (577k for-hire carriers × $400/truck/yr blended). SAM 3–50 truck segment =</w:t>
            </w:r>
            <w:r>
              <w:t xml:space="preserve"> </w:t>
            </w:r>
            <w:r>
              <w:rPr>
                <w:b/>
              </w:rPr>
              <w:t xml:space="preserve">~$870M</w:t>
            </w:r>
            <w:r>
              <w:t xml:space="preserve"> </w:t>
            </w:r>
            <w:r>
              <w:t xml:space="preserve">(180k carriers × ~9 avg × $540/yr). SOM 5-year = 2% of SAM =</w:t>
            </w:r>
            <w:r>
              <w:t xml:space="preserve"> </w:t>
            </w:r>
            <w:r>
              <w:rPr>
                <w:b/>
              </w:rPr>
              <w:t xml:space="preserve">~$17M ARR</w:t>
            </w:r>
            <w:r>
              <w:t xml:space="preserve">. Honest.</w:t>
            </w:r>
          </w:p>
        </w:tc>
        <w:tc>
          <w:p>
            <w:pPr>
              <w:pStyle w:val="Compact"/>
              <w:jc w:val="left"/>
            </w:pPr>
            <w:r>
              <w:t xml:space="preserve">Market is big enough; we aren’t fudging the math.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</w:t>
            </w:r>
            <w:r>
              <w:t xml:space="preserve"> </w:t>
            </w:r>
            <w:r>
              <w:t xml:space="preserve">— Founder bio: domain credibility, not just engineering chops. [N] months riding with dispatchers before writing code.</w:t>
            </w:r>
          </w:p>
        </w:tc>
        <w:tc>
          <w:p>
            <w:pPr>
              <w:pStyle w:val="Compact"/>
              <w:jc w:val="left"/>
            </w:pPr>
            <w:r>
              <w:t xml:space="preserve">This founder has earned the right to build this.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ask</w:t>
            </w:r>
            <w:r>
              <w:t xml:space="preserve"> </w:t>
            </w:r>
            <w:r>
              <w:t xml:space="preserve">— $1.5M pre-seed. Use of funds: eng lead + 2 engineers (50%), GTM hire + outbound (25%), SOC 2 + pen test (10%), founder/ops + buffer (15%). 18 months → 200 fleets, $1.2M ARR, SOC 2 Type II complete.</w:t>
            </w:r>
          </w:p>
        </w:tc>
        <w:tc>
          <w:p>
            <w:pPr>
              <w:pStyle w:val="Compact"/>
              <w:jc w:val="left"/>
            </w:pPr>
            <w:r>
              <w:t xml:space="preserve">We know exactly what this money buys.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Vision</w:t>
            </w:r>
            <w:r>
              <w:t xml:space="preserve"> </w:t>
            </w:r>
            <w:r>
              <w:t xml:space="preserve">— 3-year view: payments-native operating system for SMB carriers. Same-day pay becomes the wedge into being the financial layer — fuel advances, working-capital lending against verified delivered loads, factoring disintermediation. TMS is the foot in the door; payments rail is the business.</w:t>
            </w:r>
          </w:p>
        </w:tc>
        <w:tc>
          <w:p>
            <w:pPr>
              <w:pStyle w:val="Compact"/>
              <w:jc w:val="left"/>
            </w:pPr>
            <w:r>
              <w:t xml:space="preserve">Not a $20M ARR ceiling — real platform underneath, concrete path.</w:t>
            </w:r>
          </w:p>
        </w:tc>
      </w:tr>
    </w:tbl>
    <w:p>
      <w:pPr>
        <w:pStyle w:val="Heading1"/>
      </w:pPr>
      <w:bookmarkStart w:id="32" w:name="X53b4e4e282951ee4345f46a1d145cfab4b1889c"/>
      <w:r>
        <w:t xml:space="preserve">3 · DevOps — CI, env, Sentry, Vercel, Neon, prod, incident response</w:t>
      </w:r>
      <w:bookmarkEnd w:id="32"/>
    </w:p>
    <w:p>
      <w:pPr>
        <w:pStyle w:val="FirstParagraph"/>
      </w:pPr>
      <w:r>
        <w:t xml:space="preserve">All artifacts named below are committed to the scaffold on disk: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6-job pipeline (lint+types+prisma, vitest, playwright, snyk, lighthouse, summary)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all 14 service groups, public vs secret labeling intended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instrumentation.ts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sentry.server.config.ts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sentry.client.config.ts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prisma/seed.ts</w:t>
      </w:r>
      <w:r>
        <w:t xml:space="preserve"> </w:t>
      </w:r>
      <w:r>
        <w:t xml:space="preserve">— idempotent seed: 1 org, 3 users, 2 customers, 2 trucks, 2 drivers, 10 loads spanning every status</w:t>
      </w:r>
    </w:p>
    <w:p>
      <w:pPr>
        <w:pStyle w:val="Heading2"/>
      </w:pPr>
      <w:bookmarkStart w:id="33" w:name="ci-workflow-shape"/>
      <w:r>
        <w:t xml:space="preserve">3.1 CI workflow shape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lint-types-prisma</w:t>
            </w:r>
          </w:p>
        </w:tc>
        <w:tc>
          <w:p>
            <w:pPr>
              <w:pStyle w:val="Compact"/>
              <w:jc w:val="left"/>
            </w:pPr>
            <w:r>
              <w:t xml:space="preserve">every PR + push</w:t>
            </w:r>
          </w:p>
        </w:tc>
        <w:tc>
          <w:p>
            <w:pPr>
              <w:pStyle w:val="Compact"/>
              <w:jc w:val="left"/>
            </w:pPr>
            <w:r>
              <w:t xml:space="preserve">hard-fail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</w:t>
            </w:r>
            <w:r>
              <w:t xml:space="preserve"> </w:t>
            </w:r>
            <w:r>
              <w:t xml:space="preserve">(Vitest unit + integration)</w:t>
            </w:r>
          </w:p>
        </w:tc>
        <w:tc>
          <w:p>
            <w:pPr>
              <w:pStyle w:val="Compact"/>
              <w:jc w:val="left"/>
            </w:pPr>
            <w:r>
              <w:t xml:space="preserve">after lint passes</w:t>
            </w:r>
          </w:p>
        </w:tc>
        <w:tc>
          <w:p>
            <w:pPr>
              <w:pStyle w:val="Compact"/>
              <w:jc w:val="left"/>
            </w:pPr>
            <w:r>
              <w:t xml:space="preserve">hard-fail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e2e</w:t>
            </w:r>
            <w:r>
              <w:t xml:space="preserve"> </w:t>
            </w:r>
            <w:r>
              <w:t xml:space="preserve">(Playwright smoke against built app)</w:t>
            </w:r>
          </w:p>
        </w:tc>
        <w:tc>
          <w:p>
            <w:pPr>
              <w:pStyle w:val="Compact"/>
              <w:jc w:val="left"/>
            </w:pPr>
            <w:r>
              <w:t xml:space="preserve">after lint passes</w:t>
            </w:r>
          </w:p>
        </w:tc>
        <w:tc>
          <w:p>
            <w:pPr>
              <w:pStyle w:val="Compact"/>
              <w:jc w:val="left"/>
            </w:pPr>
            <w:r>
              <w:t xml:space="preserve">hard-fail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snyk</w:t>
            </w:r>
            <w:r>
              <w:t xml:space="preserve"> </w:t>
            </w:r>
            <w:r>
              <w:t xml:space="preserve">dependency scan</w:t>
            </w:r>
          </w:p>
        </w:tc>
        <w:tc>
          <w:p>
            <w:pPr>
              <w:pStyle w:val="Compact"/>
              <w:jc w:val="left"/>
            </w:pPr>
            <w:r>
              <w:t xml:space="preserve">every PR + push</w:t>
            </w:r>
          </w:p>
        </w:tc>
        <w:tc>
          <w:p>
            <w:pPr>
              <w:pStyle w:val="Compact"/>
              <w:jc w:val="left"/>
            </w:pPr>
            <w:r>
              <w:t xml:space="preserve">soft-fail until</w:t>
            </w:r>
            <w:r>
              <w:t xml:space="preserve"> </w:t>
            </w:r>
            <w:r>
              <w:rPr>
                <w:rStyle w:val="VerbatimChar"/>
              </w:rPr>
              <w:t xml:space="preserve">SNYK_TOKEN</w:t>
            </w:r>
            <w:r>
              <w:t xml:space="preserve"> </w:t>
            </w:r>
            <w:r>
              <w:t xml:space="preserve">provisioned and baseline clean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lighthouse</w:t>
            </w:r>
            <w:r>
              <w:t xml:space="preserve"> </w:t>
            </w: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PR-only</w:t>
            </w:r>
          </w:p>
        </w:tc>
        <w:tc>
          <w:p>
            <w:pPr>
              <w:pStyle w:val="Compact"/>
              <w:jc w:val="left"/>
            </w:pPr>
            <w:r>
              <w:t xml:space="preserve">a11y errors block, perf warns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p>
            <w:pPr>
              <w:pStyle w:val="Compact"/>
              <w:jc w:val="left"/>
            </w:pPr>
            <w:r>
              <w:t xml:space="preserve">aggregates, hard-fails on lint/test/e2e</w:t>
            </w:r>
          </w:p>
        </w:tc>
      </w:tr>
    </w:tbl>
    <w:p>
      <w:pPr>
        <w:pStyle w:val="BodyText"/>
      </w:pPr>
      <w:r>
        <w:t xml:space="preserve">Postgres 16 service container for tests;</w:t>
      </w:r>
      <w:r>
        <w:t xml:space="preserve"> </w:t>
      </w:r>
      <w:r>
        <w:rPr>
          <w:rStyle w:val="VerbatimChar"/>
        </w:rPr>
        <w:t xml:space="preserve">npx prisma migrate diff --exit-code</w:t>
      </w:r>
      <w:r>
        <w:t xml:space="preserve"> </w:t>
      </w:r>
      <w:r>
        <w:t xml:space="preserve">asserts no drift between schema and committed migrations.</w:t>
      </w:r>
    </w:p>
    <w:p>
      <w:pPr>
        <w:pStyle w:val="Heading2"/>
      </w:pPr>
      <w:bookmarkStart w:id="34" w:name="vercel-project-setup-quick-reference"/>
      <w:r>
        <w:t xml:space="preserve">3.2 Vercel project setup — quick reference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Connect repo → auto-detects Next.js.</w:t>
      </w:r>
    </w:p>
    <w:p>
      <w:pPr>
        <w:numPr>
          <w:ilvl w:val="0"/>
          <w:numId w:val="1004"/>
        </w:numPr>
        <w:pStyle w:val="Compact"/>
      </w:pPr>
      <w:r>
        <w:t xml:space="preserve">Production branch 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preview on every PR (suppress</w:t>
      </w:r>
      <w:r>
        <w:t xml:space="preserve"> </w:t>
      </w:r>
      <w:r>
        <w:rPr>
          <w:rStyle w:val="VerbatimChar"/>
        </w:rPr>
        <w:t xml:space="preserve">dependabot/**</w:t>
      </w:r>
      <w:r>
        <w:t xml:space="preserve"> </w:t>
      </w:r>
      <w:r>
        <w:t xml:space="preserve">if noisy).</w:t>
      </w:r>
    </w:p>
    <w:p>
      <w:pPr>
        <w:numPr>
          <w:ilvl w:val="0"/>
          <w:numId w:val="1004"/>
        </w:numPr>
        <w:pStyle w:val="Compact"/>
      </w:pPr>
      <w:r>
        <w:t xml:space="preserve">Env vars set per environment (dev/preview/staging/prod) — public (</w:t>
      </w:r>
      <w:r>
        <w:rPr>
          <w:rStyle w:val="VerbatimChar"/>
        </w:rPr>
        <w:t xml:space="preserve">NEXT_PUBLIC_*</w:t>
      </w:r>
      <w:r>
        <w:t xml:space="preserve">) vs secret split documented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 Build:</w:t>
      </w:r>
      <w:r>
        <w:t xml:space="preserve"> </w:t>
      </w:r>
      <w:r>
        <w:rPr>
          <w:rStyle w:val="VerbatimChar"/>
        </w:rPr>
        <w:t xml:space="preserve">prisma generate &amp;&amp; next build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postinstall: prisma generate</w:t>
      </w:r>
      <w:r>
        <w:t xml:space="preserve"> </w:t>
      </w:r>
      <w:r>
        <w:t xml:space="preserve">to package.json so generation runs before TS compile too.</w:t>
      </w:r>
    </w:p>
    <w:p>
      <w:pPr>
        <w:numPr>
          <w:ilvl w:val="0"/>
          <w:numId w:val="1004"/>
        </w:numPr>
        <w:pStyle w:val="Compact"/>
      </w:pPr>
      <w:r>
        <w:t xml:space="preserve">Region pin:</w:t>
      </w:r>
      <w:r>
        <w:t xml:space="preserve"> </w:t>
      </w:r>
      <w:r>
        <w:rPr>
          <w:rStyle w:val="VerbatimChar"/>
        </w:rPr>
        <w:t xml:space="preserve">iad1</w:t>
      </w:r>
      <w:r>
        <w:t xml:space="preserve"> </w:t>
      </w:r>
      <w:r>
        <w:t xml:space="preserve">(Washington DC) to co-locate with Neon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(Prisma RTT &lt; 5ms).</w:t>
      </w:r>
      <w:r>
        <w:t xml:space="preserve"> </w:t>
      </w:r>
      <w:r>
        <w:rPr>
          <w:rStyle w:val="VerbatimChar"/>
        </w:rPr>
        <w:t xml:space="preserve">export const runtime = 'nodejs'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preferredRegion = 'iad1'</w:t>
      </w:r>
      <w:r>
        <w:t xml:space="preserve"> </w:t>
      </w:r>
      <w:r>
        <w:t xml:space="preserve">on long-running route handlers.</w:t>
      </w:r>
    </w:p>
    <w:p>
      <w:pPr>
        <w:numPr>
          <w:ilvl w:val="0"/>
          <w:numId w:val="1004"/>
        </w:numPr>
        <w:pStyle w:val="Compact"/>
      </w:pPr>
      <w:r>
        <w:t xml:space="preserve">Custom domain:</w:t>
      </w:r>
      <w:r>
        <w:t xml:space="preserve"> </w:t>
      </w:r>
      <w:r>
        <w:rPr>
          <w:rStyle w:val="VerbatimChar"/>
        </w:rPr>
        <w:t xml:space="preserve">app.fleetflow.app</w:t>
      </w:r>
      <w:r>
        <w:t xml:space="preserve"> </w:t>
      </w:r>
      <w:r>
        <w:t xml:space="preserve">via Vercel DNS records.</w:t>
      </w:r>
    </w:p>
    <w:p>
      <w:pPr>
        <w:numPr>
          <w:ilvl w:val="0"/>
          <w:numId w:val="1004"/>
        </w:numPr>
        <w:pStyle w:val="Compact"/>
      </w:pPr>
      <w:r>
        <w:t xml:space="preserve">Integrations: Sentry Vercel (release tracking + deploy notifications), GitHub Checks. Inngest deploy hook (Apps → Add → Vercel → authorize).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Staging → prod promotion</w:t>
      </w:r>
      <w:r>
        <w:t xml:space="preserve"> </w:t>
      </w:r>
      <w:r>
        <w:t xml:space="preserve">is a manual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GitHub Action with the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GitHub environment requiring founder + on-call reviewers and a 5-minute wait timer. No auto-deploy to prod, ever.</w:t>
      </w:r>
    </w:p>
    <w:p>
      <w:pPr>
        <w:pStyle w:val="Heading2"/>
      </w:pPr>
      <w:bookmarkStart w:id="35" w:name="neon-branch-per-pr"/>
      <w:r>
        <w:t xml:space="preserve">3.3 Neon branch-per-PR</w:t>
      </w:r>
      <w:bookmarkEnd w:id="35"/>
    </w:p>
    <w:p>
      <w:pPr>
        <w:pStyle w:val="FirstParagraph"/>
      </w:pPr>
      <w:r>
        <w:t xml:space="preserve">A second GitHub Action (</w:t>
      </w:r>
      <w:r>
        <w:rPr>
          <w:rStyle w:val="VerbatimChar"/>
        </w:rPr>
        <w:t xml:space="preserve">.github/workflows/neon-preview.yml</w:t>
      </w:r>
      <w:r>
        <w:t xml:space="preserve">, included in the DevOps agent output) handles:</w:t>
      </w:r>
      <w:r>
        <w:t xml:space="preserve"> </w:t>
      </w:r>
      <w:r>
        <w:t xml:space="preserve">- On PR open/sync → creates a Neon branch named</w:t>
      </w:r>
      <w:r>
        <w:t xml:space="preserve"> </w:t>
      </w:r>
      <w:r>
        <w:rPr>
          <w:rStyle w:val="VerbatimChar"/>
        </w:rPr>
        <w:t xml:space="preserve">pr-&lt;num&gt;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pushes pooled + direct DB URLs into the Vercel preview env, 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against it, seeds anonymized data.</w:t>
      </w:r>
      <w:r>
        <w:t xml:space="preserve"> </w:t>
      </w:r>
      <w:r>
        <w:t xml:space="preserve">- On PR close → tears down the Neon branch.</w:t>
      </w:r>
      <w:r>
        <w:t xml:space="preserve"> </w:t>
      </w:r>
      <w:r>
        <w:t xml:space="preserve">- Seed source: weekly cron action pulls 2 tenants / 50 drivers / 200 loads / 1000 stops from a prod read replica, runs through</w:t>
      </w:r>
      <w:r>
        <w:t xml:space="preserve"> </w:t>
      </w:r>
      <w:r>
        <w:rPr>
          <w:rStyle w:val="VerbatimChar"/>
        </w:rPr>
        <w:t xml:space="preserve">scripts/anonymize.ts</w:t>
      </w:r>
      <w:r>
        <w:t xml:space="preserve"> </w:t>
      </w:r>
      <w:r>
        <w:t xml:space="preserve">(faker replaces PII, rewrites tenant IDs), commits to a private</w:t>
      </w:r>
      <w:r>
        <w:t xml:space="preserve"> </w:t>
      </w:r>
      <w:r>
        <w:rPr>
          <w:rStyle w:val="VerbatimChar"/>
        </w:rPr>
        <w:t xml:space="preserve">fleetflow/seed-data</w:t>
      </w:r>
      <w:r>
        <w:t xml:space="preserve"> </w:t>
      </w:r>
      <w:r>
        <w:t xml:space="preserve">repo.</w:t>
      </w:r>
      <w:r>
        <w:t xml:space="preserve"> </w:t>
      </w:r>
      <w:r>
        <w:rPr>
          <w:rStyle w:val="VerbatimChar"/>
        </w:rPr>
        <w:t xml:space="preserve">npm run db:seed:preview</w:t>
      </w:r>
      <w:r>
        <w:t xml:space="preserve"> </w:t>
      </w:r>
      <w:r>
        <w:t xml:space="preserve">clones via deploy key and</w:t>
      </w:r>
      <w:r>
        <w:t xml:space="preserve"> </w:t>
      </w:r>
      <w:r>
        <w:rPr>
          <w:rStyle w:val="VerbatimChar"/>
        </w:rPr>
        <w:t xml:space="preserve">psql</w:t>
      </w:r>
      <w:r>
        <w:t xml:space="preserve">-applies. ~5 MB seed, ~3 s clone — well under Neon branch creation time.</w:t>
      </w:r>
    </w:p>
    <w:p>
      <w:pPr>
        <w:pStyle w:val="Heading2"/>
      </w:pPr>
      <w:bookmarkStart w:id="36" w:name="production-go-live-checklist-15-items"/>
      <w:r>
        <w:t xml:space="preserve">3.4 Production go-live checklist (15 items)</w:t>
      </w:r>
      <w:bookmarkEnd w:id="36"/>
    </w:p>
    <w:p>
      <w:pPr>
        <w:pStyle w:val="FirstParagraph"/>
      </w:pPr>
      <w:r>
        <w:t xml:space="preserve">DNS + TLS + HSTS preload · Sentry source maps verified by deliberate throw · PostHog events firing in prod · BetterStack uptime green 24h continuous (&lt;500ms p95) · public status page + founder subscribed · Stripe in live mode + all</w:t>
      </w:r>
      <w:r>
        <w:t xml:space="preserve"> </w:t>
      </w:r>
      <w:r>
        <w:rPr>
          <w:rStyle w:val="VerbatimChar"/>
        </w:rPr>
        <w:t xml:space="preserve">stripe trigger</w:t>
      </w:r>
      <w:r>
        <w:t xml:space="preserve"> </w:t>
      </w:r>
      <w:r>
        <w:t xml:space="preserve">events received with live webhook secret · ToS/Privacy/DPA published + linked · Neon PITR + nightly off-site logical backup tested end-to-end &lt;30 days · pen test report received + High/Critical remediated · Playwright regression asserts</w:t>
      </w:r>
      <w:r>
        <w:t xml:space="preserve"> </w:t>
      </w:r>
      <w:r>
        <w:t xml:space="preserve">“</w:t>
      </w:r>
      <w:r>
        <w:t xml:space="preserve">Edit with Base44</w:t>
      </w:r>
      <w:r>
        <w:t xml:space="preserve">”</w:t>
      </w:r>
      <w:r>
        <w:t xml:space="preserve"> </w:t>
      </w:r>
      <w:r>
        <w:t xml:space="preserve">badge selector returns 0 matches on every public route · Upstash rate limits configured (60/min IP public, 10/min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, 5/min</w:t>
      </w:r>
      <w:r>
        <w:t xml:space="preserve"> </w:t>
      </w:r>
      <w:r>
        <w:rPr>
          <w:rStyle w:val="VerbatimChar"/>
        </w:rPr>
        <w:t xml:space="preserve">/api/webhooks/*</w:t>
      </w:r>
      <w:r>
        <w:t xml:space="preserve"> </w:t>
      </w:r>
      <w:r>
        <w:t xml:space="preserve">with allowlist for Stripe/Clerk IPs) · on-call rotation in BetterStack with primary/secondary/founder escalation · public changelog live with ≥1 entry + valid RSS · founder has signed up, created org, invited teammate, uploaded document, created load, run dispatch, paid invoice end-to-end in prod with real card · rollback rehearsed (</w:t>
      </w:r>
      <w:r>
        <w:rPr>
          <w:rStyle w:val="VerbatimChar"/>
        </w:rPr>
        <w:t xml:space="preserve">vercel rollback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prisma migrate resolve --rolled-back</w:t>
      </w:r>
      <w:r>
        <w:t xml:space="preserve">), drill &lt;30 days old.</w:t>
      </w:r>
    </w:p>
    <w:p>
      <w:pPr>
        <w:pStyle w:val="Heading2"/>
      </w:pPr>
      <w:bookmarkStart w:id="37" w:name="incident-response-sev1"/>
      <w:r>
        <w:t xml:space="preserve">3.5 Incident response (Sev1)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p>
            <w:pPr>
              <w:pStyle w:val="Compact"/>
              <w:jc w:val="left"/>
            </w:pPr>
            <w:r>
              <w:t xml:space="preserve">Sentry/BetterStack/customer/staff. Anyone can call an incident.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Declare</w:t>
            </w:r>
          </w:p>
        </w:tc>
        <w:tc>
          <w:p>
            <w:pPr>
              <w:pStyle w:val="Compact"/>
              <w:jc w:val="left"/>
            </w:pPr>
            <w:r>
              <w:t xml:space="preserve">On-call paged via BetterStack;</w:t>
            </w:r>
            <w:r>
              <w:t xml:space="preserve"> </w:t>
            </w:r>
            <w:r>
              <w:rPr>
                <w:rStyle w:val="VerbatimChar"/>
              </w:rPr>
              <w:t xml:space="preserve">#incident-active-YYYY-MM-DD-shortname</w:t>
            </w:r>
            <w:r>
              <w:t xml:space="preserve"> </w:t>
            </w:r>
            <w:r>
              <w:t xml:space="preserve">channel created; status page holding statement posted; roles assigned (IC = on-call, Comms Lead, Scribe).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Communicate</w:t>
            </w:r>
          </w:p>
        </w:tc>
        <w:tc>
          <w:p>
            <w:pPr>
              <w:pStyle w:val="Compact"/>
              <w:jc w:val="left"/>
            </w:pPr>
            <w:r>
              <w:t xml:space="preserve">Status page updated every 30 min minimum; customer email broadcast if unresolved at 30 min; no speculation about cause until confirmed.</w:t>
            </w:r>
          </w:p>
        </w:tc>
        <w:tc>
          <w:p>
            <w:pPr>
              <w:pStyle w:val="Compact"/>
              <w:jc w:val="left"/>
            </w:pPr>
            <w:r>
              <w:t xml:space="preserve">First update ≤ 30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Mitigate</w:t>
            </w:r>
          </w:p>
        </w:tc>
        <w:tc>
          <w:p>
            <w:pPr>
              <w:pStyle w:val="Compact"/>
              <w:jc w:val="left"/>
            </w:pPr>
            <w:r>
              <w:t xml:space="preserve">Restore first, understand later. Acceptable: Vercel rollback, feature flag kill, DB read-only, rate-limit drop. Every change logged in</w:t>
            </w:r>
            <w:r>
              <w:t xml:space="preserve"> </w:t>
            </w:r>
            <w:r>
              <w:rPr>
                <w:rStyle w:val="VerbatimChar"/>
              </w:rPr>
              <w:t xml:space="preserve">#incident-active</w:t>
            </w:r>
            <w:r>
              <w:t xml:space="preserve"> </w:t>
            </w:r>
            <w:r>
              <w:t xml:space="preserve">with timestamp.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Eradicate</w:t>
            </w:r>
          </w:p>
        </w:tc>
        <w:tc>
          <w:p>
            <w:pPr>
              <w:pStyle w:val="Compact"/>
              <w:jc w:val="left"/>
            </w:pPr>
            <w:r>
              <w:t xml:space="preserve">IC confirms root cause, real fix lands, status page → Resolved. Customer follow-up email.</w:t>
            </w:r>
          </w:p>
        </w:tc>
        <w:tc>
          <w:p>
            <w:pPr>
              <w:pStyle w:val="Compact"/>
              <w:jc w:val="left"/>
            </w:pPr>
            <w:r>
              <w:t xml:space="preserve">≤ 24h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Postmortem</w:t>
            </w:r>
          </w:p>
        </w:tc>
        <w:tc>
          <w:p>
            <w:pPr>
              <w:pStyle w:val="Compact"/>
              <w:jc w:val="left"/>
            </w:pPr>
            <w:r>
              <w:t xml:space="preserve">Blameless. Draft in 5 business days. Published to</w:t>
            </w:r>
            <w:r>
              <w:t xml:space="preserve"> </w:t>
            </w:r>
            <w:r>
              <w:rPr>
                <w:rStyle w:val="VerbatimChar"/>
              </w:rPr>
              <w:t xml:space="preserve">/postmortems/</w:t>
            </w:r>
            <w:r>
              <w:t xml:space="preserve"> </w:t>
            </w:r>
            <w:r>
              <w:t xml:space="preserve">(internal) and summary to status page. Action items in Linear with owner + due date.</w:t>
            </w:r>
          </w:p>
        </w:tc>
        <w:tc>
          <w:p>
            <w:pPr>
              <w:pStyle w:val="Compact"/>
              <w:jc w:val="left"/>
            </w:pPr>
            <w:r>
              <w:t xml:space="preserve">5 business days</w:t>
            </w:r>
          </w:p>
        </w:tc>
      </w:tr>
    </w:tbl>
    <w:p>
      <w:pPr>
        <w:pStyle w:val="BodyText"/>
      </w:pPr>
      <w:r>
        <w:rPr>
          <w:b/>
        </w:rPr>
        <w:t xml:space="preserve">Slack structure:</w:t>
      </w:r>
      <w:r>
        <w:t xml:space="preserve"> </w:t>
      </w:r>
      <w:r>
        <w:rPr>
          <w:rStyle w:val="VerbatimChar"/>
        </w:rPr>
        <w:t xml:space="preserve">#ops-alerts</w:t>
      </w:r>
      <w:r>
        <w:t xml:space="preserve"> </w:t>
      </w:r>
      <w:r>
        <w:t xml:space="preserve">(auto only — BetterStack/Sentry/Stripe/Vercel/Inngest — humans don’t chat; 90d retention) ·</w:t>
      </w:r>
      <w:r>
        <w:t xml:space="preserve"> </w:t>
      </w:r>
      <w:r>
        <w:rPr>
          <w:rStyle w:val="VerbatimChar"/>
        </w:rPr>
        <w:t xml:space="preserve">#incident-active-*</w:t>
      </w:r>
      <w:r>
        <w:t xml:space="preserve"> </w:t>
      </w:r>
      <w:r>
        <w:t xml:space="preserve">(one per incident, archived 14d after resolution) ·</w:t>
      </w:r>
      <w:r>
        <w:t xml:space="preserve"> </w:t>
      </w:r>
      <w:r>
        <w:rPr>
          <w:rStyle w:val="VerbatimChar"/>
        </w:rPr>
        <w:t xml:space="preserve">#incident-review</w:t>
      </w:r>
      <w:r>
        <w:t xml:space="preserve"> </w:t>
      </w:r>
      <w:r>
        <w:t xml:space="preserve">(postmortem drafts).</w:t>
      </w:r>
    </w:p>
    <w:p>
      <w:pPr>
        <w:pStyle w:val="BodyText"/>
      </w:pPr>
      <w:r>
        <w:rPr>
          <w:b/>
        </w:rPr>
        <w:t xml:space="preserve">On-call handoff:</w:t>
      </w:r>
      <w:r>
        <w:t xml:space="preserve"> </w:t>
      </w:r>
      <w:r>
        <w:t xml:space="preserve">rotation weekly Monday 09:00 ET. Outgoing posts handoff Friday EOD with open incidents, recent flapping alerts, things to watch. BetterStack auto-rotates Monday; incoming confirms receipt of test page within 15 minutes. 24h silent-backup overlap. Escalation: primary (10 min ack) → secondary (10 min) → founder (always reachable). Physical: charged phone with BetterStack + Slack + 1Password + Vercel CLI; laptop within 30 min reach. Travel pre-cleared in</w:t>
      </w:r>
      <w:r>
        <w:t xml:space="preserve"> </w:t>
      </w:r>
      <w:r>
        <w:rPr>
          <w:rStyle w:val="VerbatimChar"/>
        </w:rPr>
        <w:t xml:space="preserve">#ops-rotation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FleetFlow TMS — Iteration Pack II</dc:title>
  <dc:creator/>
  <cp:keywords/>
  <dcterms:created xsi:type="dcterms:W3CDTF">2026-05-14T22:06:46Z</dcterms:created>
  <dcterms:modified xsi:type="dcterms:W3CDTF">2026-05-14T22:06:46Z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13, 2026</vt:lpwstr>
  </property>
  <property fmtid="{D5CDD505-2E9C-101B-9397-08002B2CF9AE}" pid="3" name="subtitle">
    <vt:lpwstr>Legal templates · GTM (landing + outbound + deck) · DevOps runbook</vt:lpwstr>
  </property>
</Properties>
</file>