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2F53E7" w14:textId="77777777" w:rsidR="001A0CF9" w:rsidRDefault="00000000">
      <w:pPr>
        <w:spacing w:before="160" w:after="40" w:line="288" w:lineRule="auto"/>
        <w:jc w:val="center"/>
        <w:rPr>
          <w:lang w:eastAsia="zh-TW"/>
        </w:rPr>
      </w:pPr>
      <w:r>
        <w:rPr>
          <w:rFonts w:ascii="微軟正黑體" w:hAnsi="微軟正黑體"/>
          <w:b/>
          <w:color w:val="C53030"/>
          <w:sz w:val="44"/>
          <w:lang w:eastAsia="zh-TW"/>
        </w:rPr>
        <w:t>橘郡異常事件綜合調查報告</w:t>
      </w:r>
    </w:p>
    <w:p w14:paraId="7EB297EF" w14:textId="77777777" w:rsidR="001A0CF9" w:rsidRDefault="00000000">
      <w:pPr>
        <w:spacing w:after="240" w:line="288" w:lineRule="auto"/>
        <w:jc w:val="center"/>
      </w:pPr>
      <w:r>
        <w:rPr>
          <w:rFonts w:ascii="Calibri" w:hAnsi="Calibri"/>
          <w:b/>
          <w:color w:val="4A5568"/>
        </w:rPr>
        <w:t>COMPREHENSIVE EPIDEMIOLOGICAL &amp; FORENSIC INVESTIGATION REPORT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A0CF9" w14:paraId="217A42CF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BB5EB" w14:textId="77777777" w:rsidR="001A0CF9" w:rsidRDefault="00000000"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案件案由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EC938" w14:textId="77777777" w:rsidR="001A0CF9" w:rsidRDefault="00000000"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橘郡（</w:t>
            </w:r>
            <w:r>
              <w:rPr>
                <w:rFonts w:ascii="微軟正黑體" w:hAnsi="微軟正黑體"/>
                <w:color w:val="2D3748"/>
                <w:sz w:val="19"/>
              </w:rPr>
              <w:t>Orange County</w:t>
            </w:r>
            <w:r>
              <w:rPr>
                <w:rFonts w:ascii="微軟正黑體" w:hAnsi="微軟正黑體"/>
                <w:color w:val="2D3748"/>
                <w:sz w:val="19"/>
              </w:rPr>
              <w:t>）重大群聚急性致命生化異常事件專案鑑識與溯源調查</w:t>
            </w:r>
          </w:p>
        </w:tc>
      </w:tr>
      <w:tr w:rsidR="001A0CF9" w14:paraId="054CB282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1D464" w14:textId="77777777" w:rsidR="001A0CF9" w:rsidRDefault="00000000"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調查代號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DEE53" w14:textId="77777777" w:rsidR="001A0CF9" w:rsidRDefault="00000000"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OC-ANOMALY-DOC-20261023-V2</w:t>
            </w:r>
          </w:p>
        </w:tc>
      </w:tr>
      <w:tr w:rsidR="001A0CF9" w14:paraId="3B5D0710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8DC39" w14:textId="77777777" w:rsidR="001A0CF9" w:rsidRDefault="00000000"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特派調查員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55CFC" w14:textId="77777777" w:rsidR="001A0CF9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橘郡異常事件特派專案首席調查員</w:t>
            </w:r>
          </w:p>
        </w:tc>
      </w:tr>
      <w:tr w:rsidR="001A0CF9" w14:paraId="28AF0C40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4D0A4" w14:textId="77777777" w:rsidR="001A0CF9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1B365D"/>
                <w:sz w:val="19"/>
              </w:rPr>
              <w:t>情報來源審查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52FFF" w14:textId="77777777" w:rsidR="001A0CF9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現場情報卷宗《複本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調查情報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20260331.xlsx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》、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SPSS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生統檢定檔《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1022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生統數據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.docx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》</w:t>
            </w:r>
          </w:p>
        </w:tc>
      </w:tr>
      <w:tr w:rsidR="001A0CF9" w14:paraId="6C751E1F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5B915" w14:textId="77777777" w:rsidR="001A0CF9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1B365D"/>
                <w:sz w:val="19"/>
              </w:rPr>
              <w:t>有效受檢住民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A3F8E" w14:textId="77777777" w:rsidR="001A0CF9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全體納入觀察個案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N = 669 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人（有效率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100.0%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，零缺失值）</w:t>
            </w:r>
          </w:p>
        </w:tc>
      </w:tr>
      <w:tr w:rsidR="001A0CF9" w14:paraId="0D04CF27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18EE9" w14:textId="77777777" w:rsidR="001A0CF9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1B365D"/>
                <w:sz w:val="19"/>
              </w:rPr>
              <w:t>調查定稿日期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6008" w14:textId="77777777" w:rsidR="001A0CF9" w:rsidRDefault="00000000"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2026 </w:t>
            </w:r>
            <w:r>
              <w:rPr>
                <w:rFonts w:ascii="微軟正黑體" w:hAnsi="微軟正黑體"/>
                <w:color w:val="2D3748"/>
                <w:sz w:val="19"/>
              </w:rPr>
              <w:t>年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10 </w:t>
            </w:r>
            <w:r>
              <w:rPr>
                <w:rFonts w:ascii="微軟正黑體" w:hAnsi="微軟正黑體"/>
                <w:color w:val="2D3748"/>
                <w:sz w:val="19"/>
              </w:rPr>
              <w:t>月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23 </w:t>
            </w:r>
            <w:r>
              <w:rPr>
                <w:rFonts w:ascii="微軟正黑體" w:hAnsi="微軟正黑體"/>
                <w:color w:val="2D3748"/>
                <w:sz w:val="19"/>
              </w:rPr>
              <w:t>日</w:t>
            </w:r>
          </w:p>
        </w:tc>
      </w:tr>
      <w:tr w:rsidR="001A0CF9" w14:paraId="6EE8533C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BC025" w14:textId="77777777" w:rsidR="001A0CF9" w:rsidRDefault="00000000"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機密安全等級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70F06" w14:textId="77777777" w:rsidR="001A0CF9" w:rsidRDefault="00000000"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橘郡特種公衛防衛署・特級機密（</w:t>
            </w:r>
            <w:r>
              <w:rPr>
                <w:rFonts w:ascii="微軟正黑體" w:hAnsi="微軟正黑體"/>
                <w:color w:val="2D3748"/>
                <w:sz w:val="19"/>
              </w:rPr>
              <w:t>Top Secret / Code Orange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</w:tr>
    </w:tbl>
    <w:p w14:paraId="61CE20E0" w14:textId="77777777" w:rsidR="001A0CF9" w:rsidRDefault="001A0CF9">
      <w:pPr>
        <w:spacing w:after="120"/>
      </w:pPr>
    </w:p>
    <w:p w14:paraId="3BD029C9" w14:textId="77777777" w:rsidR="001A0CF9" w:rsidRDefault="00000000">
      <w:pPr>
        <w:keepNext/>
        <w:spacing w:before="320" w:after="120" w:line="288" w:lineRule="auto"/>
        <w:rPr>
          <w:lang w:eastAsia="zh-TW"/>
        </w:rPr>
      </w:pPr>
      <w:r>
        <w:rPr>
          <w:rFonts w:ascii="微軟正黑體" w:hAnsi="微軟正黑體"/>
          <w:b/>
          <w:color w:val="1B365D"/>
          <w:sz w:val="32"/>
          <w:lang w:eastAsia="zh-TW"/>
        </w:rPr>
        <w:t>第一部分：人口學與流行病學基本數據分析</w:t>
      </w:r>
    </w:p>
    <w:p w14:paraId="3BDFD9E3" w14:textId="77777777" w:rsidR="001A0CF9" w:rsidRDefault="00000000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本部分全面彙整橘郡異常事件現場調查之</w:t>
      </w:r>
      <w:r>
        <w:rPr>
          <w:lang w:eastAsia="zh-TW"/>
        </w:rPr>
        <w:t xml:space="preserve"> 669 </w:t>
      </w:r>
      <w:r>
        <w:rPr>
          <w:lang w:eastAsia="zh-TW"/>
        </w:rPr>
        <w:t>名住民完整觀測紀錄，就性別比例、飲用水來源種類比例、患病嚴重程度分布情形及疾病死亡率進行系統性描述統計，勾勒本次異常爆發之受害母體特徵。</w:t>
      </w:r>
    </w:p>
    <w:p w14:paraId="15B6B973" w14:textId="77777777" w:rsidR="001A0CF9" w:rsidRDefault="00000000">
      <w:pPr>
        <w:keepNext/>
        <w:spacing w:before="240" w:after="80" w:line="288" w:lineRule="auto"/>
      </w:pPr>
      <w:r>
        <w:rPr>
          <w:rFonts w:ascii="微軟正黑體" w:hAnsi="微軟正黑體"/>
          <w:b/>
          <w:color w:val="2B4C7E"/>
          <w:sz w:val="26"/>
        </w:rPr>
        <w:t>一、</w:t>
      </w:r>
      <w:r>
        <w:rPr>
          <w:rFonts w:ascii="微軟正黑體" w:hAnsi="微軟正黑體"/>
          <w:b/>
          <w:color w:val="2B4C7E"/>
          <w:sz w:val="26"/>
        </w:rPr>
        <w:t xml:space="preserve"> </w:t>
      </w:r>
      <w:proofErr w:type="spellStart"/>
      <w:r>
        <w:rPr>
          <w:rFonts w:ascii="微軟正黑體" w:hAnsi="微軟正黑體"/>
          <w:b/>
          <w:color w:val="2B4C7E"/>
          <w:sz w:val="26"/>
        </w:rPr>
        <w:t>性別比例（</w:t>
      </w:r>
      <w:r>
        <w:rPr>
          <w:rFonts w:ascii="微軟正黑體" w:hAnsi="微軟正黑體"/>
          <w:b/>
          <w:color w:val="2B4C7E"/>
          <w:sz w:val="26"/>
        </w:rPr>
        <w:t>Sex</w:t>
      </w:r>
      <w:proofErr w:type="spellEnd"/>
      <w:r>
        <w:rPr>
          <w:rFonts w:ascii="微軟正黑體" w:hAnsi="微軟正黑體"/>
          <w:b/>
          <w:color w:val="2B4C7E"/>
          <w:sz w:val="26"/>
        </w:rPr>
        <w:t xml:space="preserve"> Ratio &amp; Proportions</w:t>
      </w:r>
      <w:r>
        <w:rPr>
          <w:rFonts w:ascii="微軟正黑體" w:hAnsi="微軟正黑體"/>
          <w:b/>
          <w:color w:val="2B4C7E"/>
          <w:sz w:val="26"/>
        </w:rPr>
        <w:t>）</w:t>
      </w:r>
    </w:p>
    <w:p w14:paraId="1DF53E68" w14:textId="77777777" w:rsidR="001A0CF9" w:rsidRDefault="00000000">
      <w:pPr>
        <w:spacing w:before="40" w:after="80" w:line="288" w:lineRule="auto"/>
      </w:pPr>
      <w:r>
        <w:t>在調查母體</w:t>
      </w:r>
      <w:r>
        <w:t xml:space="preserve"> 669 </w:t>
      </w:r>
      <w:r>
        <w:t>人中，女性人數顯著高於男性，具體統計如下表所示：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  <w:gridCol w:w="70"/>
      </w:tblGrid>
      <w:tr w:rsidR="001A0CF9" w14:paraId="218DC265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7D62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性別分組（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Gender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F5CB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個案數（次數）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60FA2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佔總受檢人數比例（</w:t>
            </w: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2AA9F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t>有效累積百分比</w:t>
            </w:r>
            <w:proofErr w:type="spellEnd"/>
            <w:r>
              <w:rPr>
                <w:rFonts w:ascii="微軟正黑體" w:hAnsi="微軟正黑體"/>
                <w:b/>
                <w:color w:val="FFFFFF"/>
                <w:sz w:val="19"/>
              </w:rPr>
              <w:t>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872" w:type="dxa"/>
            <w:gridSpan w:val="2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8576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年齡平均值（歲）</w:t>
            </w:r>
          </w:p>
        </w:tc>
      </w:tr>
      <w:tr w:rsidR="001A0CF9" w14:paraId="5EE8A98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74F9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女性（</w:t>
            </w:r>
            <w:r>
              <w:rPr>
                <w:rFonts w:ascii="微軟正黑體" w:hAnsi="微軟正黑體"/>
                <w:color w:val="2D3748"/>
                <w:sz w:val="19"/>
              </w:rPr>
              <w:t>Female, F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4545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409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3EE8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61.14%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1E2D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61.14%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753D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39.18 ± 18.93 </w:t>
            </w:r>
            <w:r>
              <w:rPr>
                <w:rFonts w:ascii="微軟正黑體" w:hAnsi="微軟正黑體"/>
                <w:color w:val="2D3748"/>
                <w:sz w:val="19"/>
              </w:rPr>
              <w:t>歲</w:t>
            </w:r>
          </w:p>
        </w:tc>
      </w:tr>
      <w:tr w:rsidR="001A0CF9" w14:paraId="1999C9E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DCB3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lastRenderedPageBreak/>
              <w:t>男性（</w:t>
            </w:r>
            <w:r>
              <w:rPr>
                <w:rFonts w:ascii="微軟正黑體" w:hAnsi="微軟正黑體"/>
                <w:color w:val="2D3748"/>
                <w:sz w:val="19"/>
              </w:rPr>
              <w:t>Male, M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99E8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260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4491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38.86%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49DF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100.00%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C154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40.43 ± 18.40 </w:t>
            </w:r>
            <w:r>
              <w:rPr>
                <w:rFonts w:ascii="微軟正黑體" w:hAnsi="微軟正黑體"/>
                <w:color w:val="2D3748"/>
                <w:sz w:val="19"/>
              </w:rPr>
              <w:t>歲</w:t>
            </w:r>
          </w:p>
        </w:tc>
      </w:tr>
      <w:tr w:rsidR="001A0CF9" w14:paraId="7286CA0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416F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全郡受檢總計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1A5F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9FE2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8FCA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2947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 xml:space="preserve">39.67 ± 18.72 </w:t>
            </w:r>
            <w:r>
              <w:rPr>
                <w:rFonts w:ascii="微軟正黑體" w:hAnsi="微軟正黑體"/>
                <w:b/>
                <w:color w:val="2D3748"/>
                <w:sz w:val="19"/>
              </w:rPr>
              <w:t>歲</w:t>
            </w:r>
          </w:p>
        </w:tc>
      </w:tr>
      <w:tr w:rsidR="001A0CF9" w14:paraId="561D6B2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70" w:type="dxa"/>
          <w:jc w:val="center"/>
        </w:trPr>
        <w:tc>
          <w:tcPr>
            <w:tcW w:w="9360" w:type="dxa"/>
            <w:gridSpan w:val="5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29510" w14:textId="77777777" w:rsidR="001A0CF9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>【調查員觀點】</w:t>
            </w: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 xml:space="preserve">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全郡居民呈現「女多男少」的人口學特徵（女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61.14% vs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男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38.86%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，比例約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1.57 : 1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）。兩性平均年齡均接近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40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歲（女性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39.18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歲、男性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40.43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歲），年齡分布跨度皆自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8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歲至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90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歲，結構平穩，無顯著極端年齡偏差。</w:t>
            </w:r>
          </w:p>
        </w:tc>
      </w:tr>
    </w:tbl>
    <w:p w14:paraId="41A4263C" w14:textId="77777777" w:rsidR="001A0CF9" w:rsidRDefault="001A0CF9">
      <w:pPr>
        <w:spacing w:after="80"/>
        <w:rPr>
          <w:lang w:eastAsia="zh-TW"/>
        </w:rPr>
      </w:pPr>
    </w:p>
    <w:p w14:paraId="515BA3B0" w14:textId="77777777" w:rsidR="001A0CF9" w:rsidRDefault="00000000">
      <w:pPr>
        <w:keepNext/>
        <w:spacing w:before="240" w:after="80" w:line="288" w:lineRule="auto"/>
      </w:pPr>
      <w:r>
        <w:rPr>
          <w:rFonts w:ascii="微軟正黑體" w:hAnsi="微軟正黑體"/>
          <w:b/>
          <w:color w:val="2B4C7E"/>
          <w:sz w:val="26"/>
        </w:rPr>
        <w:t>二、</w:t>
      </w:r>
      <w:r>
        <w:rPr>
          <w:rFonts w:ascii="微軟正黑體" w:hAnsi="微軟正黑體"/>
          <w:b/>
          <w:color w:val="2B4C7E"/>
          <w:sz w:val="26"/>
        </w:rPr>
        <w:t xml:space="preserve"> </w:t>
      </w:r>
      <w:proofErr w:type="spellStart"/>
      <w:r>
        <w:rPr>
          <w:rFonts w:ascii="微軟正黑體" w:hAnsi="微軟正黑體"/>
          <w:b/>
          <w:color w:val="2B4C7E"/>
          <w:sz w:val="26"/>
        </w:rPr>
        <w:t>飲用水來源種類比例（</w:t>
      </w:r>
      <w:r>
        <w:rPr>
          <w:rFonts w:ascii="微軟正黑體" w:hAnsi="微軟正黑體"/>
          <w:b/>
          <w:color w:val="2B4C7E"/>
          <w:sz w:val="26"/>
        </w:rPr>
        <w:t>Drinking</w:t>
      </w:r>
      <w:proofErr w:type="spellEnd"/>
      <w:r>
        <w:rPr>
          <w:rFonts w:ascii="微軟正黑體" w:hAnsi="微軟正黑體"/>
          <w:b/>
          <w:color w:val="2B4C7E"/>
          <w:sz w:val="26"/>
        </w:rPr>
        <w:t xml:space="preserve"> Water Source Distribution</w:t>
      </w:r>
      <w:r>
        <w:rPr>
          <w:rFonts w:ascii="微軟正黑體" w:hAnsi="微軟正黑體"/>
          <w:b/>
          <w:color w:val="2B4C7E"/>
          <w:sz w:val="26"/>
        </w:rPr>
        <w:t>）</w:t>
      </w:r>
    </w:p>
    <w:p w14:paraId="43A37340" w14:textId="77777777" w:rsidR="001A0CF9" w:rsidRDefault="00000000">
      <w:pPr>
        <w:spacing w:before="40" w:after="80" w:line="288" w:lineRule="auto"/>
      </w:pPr>
      <w:r>
        <w:t>橘郡住民日常飲用水來源包含三大類別：深井水（</w:t>
      </w:r>
      <w:r>
        <w:t>Deep well</w:t>
      </w:r>
      <w:r>
        <w:t>）、淺井水（</w:t>
      </w:r>
      <w:r>
        <w:t>shallow well</w:t>
      </w:r>
      <w:r>
        <w:t>）與自來水（</w:t>
      </w:r>
      <w:r>
        <w:t>Top water</w:t>
      </w:r>
      <w:r>
        <w:t>），使用分佈比例如下表：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  <w:gridCol w:w="70"/>
      </w:tblGrid>
      <w:tr w:rsidR="001A0CF9" w14:paraId="1B7A80C7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92FB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飲用水來源種類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7AA8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依賴人數（次數）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53E2E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佔總受檢人數比例（</w:t>
            </w: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F3558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t>含水層</w:t>
            </w:r>
            <w:proofErr w:type="spellEnd"/>
            <w:r>
              <w:rPr>
                <w:rFonts w:ascii="微軟正黑體" w:hAnsi="微軟正黑體"/>
                <w:b/>
                <w:color w:val="FFFFFF"/>
                <w:sz w:val="19"/>
              </w:rPr>
              <w:t>/</w:t>
            </w: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t>供水物理特徵</w:t>
            </w:r>
            <w:proofErr w:type="spellEnd"/>
          </w:p>
        </w:tc>
        <w:tc>
          <w:tcPr>
            <w:tcW w:w="1872" w:type="dxa"/>
            <w:gridSpan w:val="2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E212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生統水源分組標記</w:t>
            </w:r>
          </w:p>
        </w:tc>
      </w:tr>
      <w:tr w:rsidR="001A0CF9" w14:paraId="6806A02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B213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</w:t>
            </w:r>
            <w:r>
              <w:rPr>
                <w:rFonts w:ascii="微軟正黑體" w:hAnsi="微軟正黑體"/>
                <w:color w:val="2D3748"/>
                <w:sz w:val="19"/>
              </w:rPr>
              <w:t>Deep well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538E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4E98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75.04%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FEAAA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地下深層含水層（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&gt;50m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），封閉承壓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A309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2</w:t>
            </w:r>
            <w:r>
              <w:rPr>
                <w:rFonts w:ascii="微軟正黑體" w:hAnsi="微軟正黑體"/>
                <w:color w:val="2D3748"/>
                <w:sz w:val="19"/>
              </w:rPr>
              <w:t>（地下深水組）</w:t>
            </w:r>
          </w:p>
        </w:tc>
      </w:tr>
      <w:tr w:rsidR="001A0CF9" w14:paraId="5803BA04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A610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</w:t>
            </w:r>
            <w:r>
              <w:rPr>
                <w:rFonts w:ascii="微軟正黑體" w:hAnsi="微軟正黑體"/>
                <w:color w:val="2D3748"/>
                <w:sz w:val="19"/>
              </w:rPr>
              <w:t>shallow well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8AB6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5275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17.19%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273DD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地下表淺含水層（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&lt;20m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），潛水層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3E7E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</w:t>
            </w:r>
            <w:r>
              <w:rPr>
                <w:rFonts w:ascii="微軟正黑體" w:hAnsi="微軟正黑體"/>
                <w:color w:val="2D3748"/>
                <w:sz w:val="19"/>
              </w:rPr>
              <w:t>（地表</w:t>
            </w:r>
            <w:r>
              <w:rPr>
                <w:rFonts w:ascii="微軟正黑體" w:hAnsi="微軟正黑體"/>
                <w:color w:val="2D3748"/>
                <w:sz w:val="19"/>
              </w:rPr>
              <w:t>/</w:t>
            </w: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淺層組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</w:tr>
      <w:tr w:rsidR="001A0CF9" w14:paraId="00C0D13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4216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</w:t>
            </w:r>
            <w:r>
              <w:rPr>
                <w:rFonts w:ascii="微軟正黑體" w:hAnsi="微軟正黑體"/>
                <w:color w:val="2D3748"/>
                <w:sz w:val="19"/>
              </w:rPr>
              <w:t>Top water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1CF6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F30C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7.77%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E6A1A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市政自來水廠，具混凝過濾消毒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9496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</w:t>
            </w:r>
            <w:r>
              <w:rPr>
                <w:rFonts w:ascii="微軟正黑體" w:hAnsi="微軟正黑體"/>
                <w:color w:val="2D3748"/>
                <w:sz w:val="19"/>
              </w:rPr>
              <w:t>（市政淨化水）</w:t>
            </w:r>
          </w:p>
        </w:tc>
      </w:tr>
      <w:tr w:rsidR="001A0CF9" w14:paraId="67DA924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7606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全郡受檢總計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95FE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1E1A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A638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—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862F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全體有效受檢母體</w:t>
            </w:r>
          </w:p>
        </w:tc>
      </w:tr>
      <w:tr w:rsidR="001A0CF9" w14:paraId="408EDDF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70" w:type="dxa"/>
          <w:jc w:val="center"/>
        </w:trPr>
        <w:tc>
          <w:tcPr>
            <w:tcW w:w="9360" w:type="dxa"/>
            <w:gridSpan w:val="5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A65C4" w14:textId="77777777" w:rsidR="001A0CF9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>【調查員觀點】</w:t>
            </w: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 xml:space="preserve">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關鍵地質公衛威脅：橘郡高達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75.04%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的住民高度仰賴深層地下水井，僅有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7.77%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的居民接取自來水管網。這種高度依賴深層地下水的單一結構，使得一旦深層含水層遭遇極端生化污染，將引發難以遏止的全郡滅頂之災。</w:t>
            </w:r>
          </w:p>
        </w:tc>
      </w:tr>
    </w:tbl>
    <w:p w14:paraId="43E6AE7D" w14:textId="77777777" w:rsidR="001A0CF9" w:rsidRDefault="001A0CF9">
      <w:pPr>
        <w:spacing w:after="80"/>
        <w:rPr>
          <w:lang w:eastAsia="zh-TW"/>
        </w:rPr>
      </w:pPr>
    </w:p>
    <w:p w14:paraId="03C0D61E" w14:textId="77777777" w:rsidR="001A0CF9" w:rsidRDefault="00000000">
      <w:pPr>
        <w:keepNext/>
        <w:spacing w:before="240" w:after="80" w:line="288" w:lineRule="auto"/>
      </w:pPr>
      <w:r>
        <w:rPr>
          <w:rFonts w:ascii="微軟正黑體" w:hAnsi="微軟正黑體"/>
          <w:b/>
          <w:color w:val="2B4C7E"/>
          <w:sz w:val="26"/>
        </w:rPr>
        <w:lastRenderedPageBreak/>
        <w:t>三、</w:t>
      </w:r>
      <w:r>
        <w:rPr>
          <w:rFonts w:ascii="微軟正黑體" w:hAnsi="微軟正黑體"/>
          <w:b/>
          <w:color w:val="2B4C7E"/>
          <w:sz w:val="26"/>
        </w:rPr>
        <w:t xml:space="preserve"> </w:t>
      </w:r>
      <w:proofErr w:type="spellStart"/>
      <w:r>
        <w:rPr>
          <w:rFonts w:ascii="微軟正黑體" w:hAnsi="微軟正黑體"/>
          <w:b/>
          <w:color w:val="2B4C7E"/>
          <w:sz w:val="26"/>
        </w:rPr>
        <w:t>患病嚴重程度分布情形（</w:t>
      </w:r>
      <w:r>
        <w:rPr>
          <w:rFonts w:ascii="微軟正黑體" w:hAnsi="微軟正黑體"/>
          <w:b/>
          <w:color w:val="2B4C7E"/>
          <w:sz w:val="26"/>
        </w:rPr>
        <w:t>Disease</w:t>
      </w:r>
      <w:proofErr w:type="spellEnd"/>
      <w:r>
        <w:rPr>
          <w:rFonts w:ascii="微軟正黑體" w:hAnsi="微軟正黑體"/>
          <w:b/>
          <w:color w:val="2B4C7E"/>
          <w:sz w:val="26"/>
        </w:rPr>
        <w:t xml:space="preserve"> Severity Proportions</w:t>
      </w:r>
      <w:r>
        <w:rPr>
          <w:rFonts w:ascii="微軟正黑體" w:hAnsi="微軟正黑體"/>
          <w:b/>
          <w:color w:val="2B4C7E"/>
          <w:sz w:val="26"/>
        </w:rPr>
        <w:t>）</w:t>
      </w:r>
    </w:p>
    <w:p w14:paraId="17E2F52C" w14:textId="77777777" w:rsidR="001A0CF9" w:rsidRDefault="00000000">
      <w:pPr>
        <w:spacing w:before="40" w:after="80" w:line="288" w:lineRule="auto"/>
      </w:pPr>
      <w:r>
        <w:t>臨床病理學家將受檢者的健康與發病狀態分類為「健康無病（</w:t>
      </w:r>
      <w:r>
        <w:t>Healthy</w:t>
      </w:r>
      <w:r>
        <w:t>）」、「輕度發病（</w:t>
      </w:r>
      <w:r>
        <w:t>minor</w:t>
      </w:r>
      <w:r>
        <w:t>）」與「重度急性發病（</w:t>
      </w:r>
      <w:r>
        <w:t>severe</w:t>
      </w:r>
      <w:r>
        <w:t>）」：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  <w:gridCol w:w="70"/>
      </w:tblGrid>
      <w:tr w:rsidR="001A0CF9" w14:paraId="7CED4599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45C4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嚴重程度分類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4A140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人數（次數）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AFA88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佔總受檢人數比例（</w:t>
            </w: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9E4A2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t>佔患病人口比例</w:t>
            </w:r>
            <w:proofErr w:type="spellEnd"/>
            <w:r>
              <w:rPr>
                <w:rFonts w:ascii="微軟正黑體" w:hAnsi="微軟正黑體"/>
                <w:b/>
                <w:color w:val="FFFFFF"/>
                <w:sz w:val="19"/>
              </w:rPr>
              <w:t>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872" w:type="dxa"/>
            <w:gridSpan w:val="2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501A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臨床典型病理表現</w:t>
            </w:r>
          </w:p>
        </w:tc>
      </w:tr>
      <w:tr w:rsidR="001A0CF9" w14:paraId="6949D4E5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3E80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健康無病（</w:t>
            </w:r>
            <w:r>
              <w:rPr>
                <w:rFonts w:ascii="微軟正黑體" w:hAnsi="微軟正黑體"/>
                <w:color w:val="2D3748"/>
                <w:sz w:val="19"/>
              </w:rPr>
              <w:t>Healthy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85E1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E1EC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23.02%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069C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  <w:r>
              <w:rPr>
                <w:rFonts w:ascii="微軟正黑體" w:hAnsi="微軟正黑體"/>
                <w:color w:val="2D3748"/>
                <w:sz w:val="19"/>
              </w:rPr>
              <w:t>（未染病對照）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6BFD3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無生理自覺症狀，器官機能正常</w:t>
            </w:r>
          </w:p>
        </w:tc>
      </w:tr>
      <w:tr w:rsidR="001A0CF9" w14:paraId="17B3C9F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94DD3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輕度發病（</w:t>
            </w:r>
            <w:r>
              <w:rPr>
                <w:rFonts w:ascii="微軟正黑體" w:hAnsi="微軟正黑體"/>
                <w:color w:val="2D3748"/>
                <w:sz w:val="19"/>
              </w:rPr>
              <w:t>minor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B826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207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7633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30.94%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62A1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40.19%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9B0E2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早期急性毒性中毒、生化代謝紊亂</w:t>
            </w:r>
          </w:p>
        </w:tc>
      </w:tr>
      <w:tr w:rsidR="001A0CF9" w14:paraId="07D404E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79F82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重度發病（</w:t>
            </w:r>
            <w:r>
              <w:rPr>
                <w:rFonts w:ascii="微軟正黑體" w:hAnsi="微軟正黑體"/>
                <w:color w:val="2D3748"/>
                <w:sz w:val="19"/>
              </w:rPr>
              <w:t>severe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F207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D075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46.04%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052F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59.81%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C12A4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多重器官衰竭、急性神經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/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血管麻痺</w:t>
            </w:r>
          </w:p>
        </w:tc>
      </w:tr>
      <w:tr w:rsidR="001A0CF9" w14:paraId="4A218067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CFE56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2D3748"/>
                <w:sz w:val="19"/>
              </w:rPr>
              <w:t>患病住民總計</w:t>
            </w:r>
            <w:proofErr w:type="spellEnd"/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6231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515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C771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76.98%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118A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C7998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2D3748"/>
                <w:sz w:val="19"/>
                <w:lang w:eastAsia="zh-TW"/>
              </w:rPr>
              <w:t>輕症與重症患者之總和（患病率</w:t>
            </w:r>
            <w:r>
              <w:rPr>
                <w:rFonts w:ascii="微軟正黑體" w:hAnsi="微軟正黑體"/>
                <w:b/>
                <w:color w:val="2D3748"/>
                <w:sz w:val="19"/>
                <w:lang w:eastAsia="zh-TW"/>
              </w:rPr>
              <w:t xml:space="preserve"> 76.98%</w:t>
            </w:r>
            <w:r>
              <w:rPr>
                <w:rFonts w:ascii="微軟正黑體" w:hAnsi="微軟正黑體"/>
                <w:b/>
                <w:color w:val="2D3748"/>
                <w:sz w:val="19"/>
                <w:lang w:eastAsia="zh-TW"/>
              </w:rPr>
              <w:t>）</w:t>
            </w:r>
          </w:p>
        </w:tc>
      </w:tr>
      <w:tr w:rsidR="001A0CF9" w14:paraId="68D5EF81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7D480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2D3748"/>
                <w:sz w:val="19"/>
              </w:rPr>
              <w:t>全體調查總和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FE74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7574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CCF4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—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9D53A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2D3748"/>
                <w:sz w:val="19"/>
                <w:lang w:eastAsia="zh-TW"/>
              </w:rPr>
              <w:t>包含健康與患病住民之總母體</w:t>
            </w:r>
          </w:p>
        </w:tc>
      </w:tr>
      <w:tr w:rsidR="001A0CF9" w14:paraId="5200A69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70" w:type="dxa"/>
          <w:jc w:val="center"/>
        </w:trPr>
        <w:tc>
          <w:tcPr>
            <w:tcW w:w="9360" w:type="dxa"/>
            <w:gridSpan w:val="5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2151B" w14:textId="77777777" w:rsidR="001A0CF9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>【調查員觀點】</w:t>
            </w: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 xml:space="preserve">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全體居民之患病比例高達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76.98%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（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515 / 669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人）。值得高度戒備的是：在所有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515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名患病住民中，重度發病（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severe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）高達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308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人（佔染病者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59.81%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），顯示致病源具有超強的組織破壞力，能直接引發急速器官衰竭。</w:t>
            </w:r>
          </w:p>
        </w:tc>
      </w:tr>
    </w:tbl>
    <w:p w14:paraId="7E02E8F5" w14:textId="77777777" w:rsidR="001A0CF9" w:rsidRDefault="001A0CF9">
      <w:pPr>
        <w:spacing w:after="80"/>
        <w:rPr>
          <w:lang w:eastAsia="zh-TW"/>
        </w:rPr>
      </w:pPr>
    </w:p>
    <w:p w14:paraId="50AFE881" w14:textId="77777777" w:rsidR="001A0CF9" w:rsidRDefault="00000000">
      <w:pPr>
        <w:keepNext/>
        <w:spacing w:before="240" w:after="80" w:line="288" w:lineRule="auto"/>
      </w:pPr>
      <w:r>
        <w:rPr>
          <w:rFonts w:ascii="微軟正黑體" w:hAnsi="微軟正黑體"/>
          <w:b/>
          <w:color w:val="2B4C7E"/>
          <w:sz w:val="26"/>
        </w:rPr>
        <w:t>四、</w:t>
      </w:r>
      <w:r>
        <w:rPr>
          <w:rFonts w:ascii="微軟正黑體" w:hAnsi="微軟正黑體"/>
          <w:b/>
          <w:color w:val="2B4C7E"/>
          <w:sz w:val="26"/>
        </w:rPr>
        <w:t xml:space="preserve"> </w:t>
      </w:r>
      <w:proofErr w:type="spellStart"/>
      <w:r>
        <w:rPr>
          <w:rFonts w:ascii="微軟正黑體" w:hAnsi="微軟正黑體"/>
          <w:b/>
          <w:color w:val="2B4C7E"/>
          <w:sz w:val="26"/>
        </w:rPr>
        <w:t>疾病的死亡率分析（</w:t>
      </w:r>
      <w:r>
        <w:rPr>
          <w:rFonts w:ascii="微軟正黑體" w:hAnsi="微軟正黑體"/>
          <w:b/>
          <w:color w:val="2B4C7E"/>
          <w:sz w:val="26"/>
        </w:rPr>
        <w:t>Mortality</w:t>
      </w:r>
      <w:proofErr w:type="spellEnd"/>
      <w:r>
        <w:rPr>
          <w:rFonts w:ascii="微軟正黑體" w:hAnsi="微軟正黑體"/>
          <w:b/>
          <w:color w:val="2B4C7E"/>
          <w:sz w:val="26"/>
        </w:rPr>
        <w:t xml:space="preserve"> &amp; Case Fatality Rate</w:t>
      </w:r>
      <w:r>
        <w:rPr>
          <w:rFonts w:ascii="微軟正黑體" w:hAnsi="微軟正黑體"/>
          <w:b/>
          <w:color w:val="2B4C7E"/>
          <w:sz w:val="26"/>
        </w:rPr>
        <w:t>）</w:t>
      </w:r>
    </w:p>
    <w:p w14:paraId="07776D1E" w14:textId="77777777" w:rsidR="001A0CF9" w:rsidRDefault="00000000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本事件具備公共衛生史上極端罕見的「絕對致死特性」，具體死亡率指標矩陣如下：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  <w:gridCol w:w="70"/>
      </w:tblGrid>
      <w:tr w:rsidR="001A0CF9" w14:paraId="315795B2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1B99F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t>死亡率統計指標</w:t>
            </w:r>
            <w:proofErr w:type="spellEnd"/>
          </w:p>
        </w:tc>
        <w:tc>
          <w:tcPr>
            <w:tcW w:w="2340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AB23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分子與分母</w:t>
            </w:r>
          </w:p>
        </w:tc>
        <w:tc>
          <w:tcPr>
            <w:tcW w:w="2340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3132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統計數值</w:t>
            </w:r>
          </w:p>
        </w:tc>
        <w:tc>
          <w:tcPr>
            <w:tcW w:w="2340" w:type="dxa"/>
            <w:gridSpan w:val="2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2F46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流行病學實質判定</w:t>
            </w:r>
          </w:p>
        </w:tc>
      </w:tr>
      <w:tr w:rsidR="001A0CF9" w14:paraId="27E998C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6ABE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全人口粗死亡率（</w:t>
            </w:r>
            <w:r>
              <w:rPr>
                <w:rFonts w:ascii="微軟正黑體" w:hAnsi="微軟正黑體"/>
                <w:color w:val="2D3748"/>
                <w:sz w:val="19"/>
              </w:rPr>
              <w:t>Crude Mortality Rate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E69E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死亡人數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515 / </w:t>
            </w:r>
            <w:r>
              <w:rPr>
                <w:rFonts w:ascii="微軟正黑體" w:hAnsi="微軟正黑體"/>
                <w:color w:val="2D3748"/>
                <w:sz w:val="19"/>
              </w:rPr>
              <w:t>總人數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669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1B5B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76.98%</w:t>
            </w:r>
          </w:p>
        </w:tc>
        <w:tc>
          <w:tcPr>
            <w:tcW w:w="2340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4C516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全郡超過四分之三人口在此次事件中喪生</w:t>
            </w:r>
          </w:p>
        </w:tc>
      </w:tr>
      <w:tr w:rsidR="001A0CF9" w14:paraId="6495D6B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72EE9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全人口生還存活率（</w:t>
            </w:r>
            <w:r>
              <w:rPr>
                <w:rFonts w:ascii="微軟正黑體" w:hAnsi="微軟正黑體"/>
                <w:color w:val="2D3748"/>
                <w:sz w:val="19"/>
              </w:rPr>
              <w:t>Survival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Rate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F7CF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存活人數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154 / </w:t>
            </w:r>
            <w:r>
              <w:rPr>
                <w:rFonts w:ascii="微軟正黑體" w:hAnsi="微軟正黑體"/>
                <w:color w:val="2D3748"/>
                <w:sz w:val="19"/>
              </w:rPr>
              <w:t>總人數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</w:t>
            </w:r>
            <w:r>
              <w:rPr>
                <w:rFonts w:ascii="微軟正黑體" w:hAnsi="微軟正黑體"/>
                <w:color w:val="2D3748"/>
                <w:sz w:val="19"/>
              </w:rPr>
              <w:lastRenderedPageBreak/>
              <w:t>669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9947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lastRenderedPageBreak/>
              <w:t>23.02%</w:t>
            </w:r>
          </w:p>
        </w:tc>
        <w:tc>
          <w:tcPr>
            <w:tcW w:w="2340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0EAA1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全郡僅不足四分之一住民僥倖存活</w:t>
            </w:r>
          </w:p>
        </w:tc>
      </w:tr>
      <w:tr w:rsidR="001A0CF9" w14:paraId="7E150BC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AF51B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患病個案致死率（</w:t>
            </w:r>
            <w:r>
              <w:rPr>
                <w:rFonts w:ascii="微軟正黑體" w:hAnsi="微軟正黑體"/>
                <w:color w:val="2D3748"/>
                <w:sz w:val="19"/>
              </w:rPr>
              <w:t>Case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Fatality Rate, CFR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A09B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患病死亡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515 / </w:t>
            </w:r>
            <w:r>
              <w:rPr>
                <w:rFonts w:ascii="微軟正黑體" w:hAnsi="微軟正黑體"/>
                <w:color w:val="2D3748"/>
                <w:sz w:val="19"/>
              </w:rPr>
              <w:t>全部患病者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515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3837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w="2340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6C80B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臨床零治癒率，凡發病者無一生還，全數死亡</w:t>
            </w:r>
          </w:p>
        </w:tc>
      </w:tr>
      <w:tr w:rsidR="001A0CF9" w14:paraId="44413F1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2FEC9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輕症發病致死率（</w:t>
            </w:r>
            <w:r>
              <w:rPr>
                <w:rFonts w:ascii="微軟正黑體" w:hAnsi="微軟正黑體"/>
                <w:color w:val="2D3748"/>
                <w:sz w:val="19"/>
              </w:rPr>
              <w:t>Minor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CFR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51EC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輕症死亡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207 / </w:t>
            </w:r>
            <w:r>
              <w:rPr>
                <w:rFonts w:ascii="微軟正黑體" w:hAnsi="微軟正黑體"/>
                <w:color w:val="2D3748"/>
                <w:sz w:val="19"/>
              </w:rPr>
              <w:t>全部輕症者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207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B06F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w="2340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64A67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輕症患者病程不可逆，最終皆不可避免走向死亡</w:t>
            </w:r>
          </w:p>
        </w:tc>
      </w:tr>
      <w:tr w:rsidR="001A0CF9" w14:paraId="042CBB5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F1261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重症發病致死率（</w:t>
            </w:r>
            <w:r>
              <w:rPr>
                <w:rFonts w:ascii="微軟正黑體" w:hAnsi="微軟正黑體"/>
                <w:color w:val="2D3748"/>
                <w:sz w:val="19"/>
              </w:rPr>
              <w:t>Severe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CFR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0DAB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重症死亡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308 / </w:t>
            </w:r>
            <w:r>
              <w:rPr>
                <w:rFonts w:ascii="微軟正黑體" w:hAnsi="微軟正黑體"/>
                <w:color w:val="2D3748"/>
                <w:sz w:val="19"/>
              </w:rPr>
              <w:t>全部重症者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308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3A99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w="2340" w:type="dxa"/>
            <w:gridSpan w:val="2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F1E5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重症患者無一生還</w:t>
            </w:r>
          </w:p>
        </w:tc>
      </w:tr>
      <w:tr w:rsidR="001A0CF9" w14:paraId="28C4D18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ACA9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健康未染病者死亡率（</w:t>
            </w:r>
            <w:r>
              <w:rPr>
                <w:rFonts w:ascii="微軟正黑體" w:hAnsi="微軟正黑體"/>
                <w:color w:val="2D3748"/>
                <w:sz w:val="19"/>
              </w:rPr>
              <w:t>Healthy CFR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C1870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健康死亡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0 / </w:t>
            </w:r>
            <w:r>
              <w:rPr>
                <w:rFonts w:ascii="微軟正黑體" w:hAnsi="微軟正黑體"/>
                <w:color w:val="2D3748"/>
                <w:sz w:val="19"/>
              </w:rPr>
              <w:t>全部健康者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154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2895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0.00%</w:t>
            </w:r>
          </w:p>
        </w:tc>
        <w:tc>
          <w:tcPr>
            <w:tcW w:w="2340" w:type="dxa"/>
            <w:gridSpan w:val="2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C4DE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未受病原毒素侵害之住民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100% </w:t>
            </w:r>
            <w:r>
              <w:rPr>
                <w:rFonts w:ascii="微軟正黑體" w:hAnsi="微軟正黑體"/>
                <w:color w:val="2D3748"/>
                <w:sz w:val="19"/>
              </w:rPr>
              <w:t>存活</w:t>
            </w:r>
          </w:p>
        </w:tc>
      </w:tr>
      <w:tr w:rsidR="001A0CF9" w14:paraId="295A558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70" w:type="dxa"/>
          <w:jc w:val="center"/>
        </w:trPr>
        <w:tc>
          <w:tcPr>
            <w:tcW w:w="9360" w:type="dxa"/>
            <w:gridSpan w:val="4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746F8" w14:textId="77777777" w:rsidR="001A0CF9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>【調查員觀點】</w:t>
            </w: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 xml:space="preserve">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致死率高達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100%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（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515 / 515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人）之醫學意涵：這表明該未知異常因子在人體內無有效免疫清除途徑，常規急救醫療手段完全無效。防堵此事件的唯一可能，是在病原「進入人體前」徹底物理阻斷。</w:t>
            </w:r>
          </w:p>
        </w:tc>
      </w:tr>
    </w:tbl>
    <w:p w14:paraId="09904084" w14:textId="77777777" w:rsidR="001A0CF9" w:rsidRDefault="001A0CF9">
      <w:pPr>
        <w:spacing w:after="80"/>
        <w:rPr>
          <w:lang w:eastAsia="zh-TW"/>
        </w:rPr>
      </w:pPr>
    </w:p>
    <w:p w14:paraId="7E07AFF6" w14:textId="77777777" w:rsidR="001A0CF9" w:rsidRDefault="00000000">
      <w:pPr>
        <w:spacing w:before="160" w:after="160" w:line="288" w:lineRule="auto"/>
        <w:jc w:val="center"/>
        <w:rPr>
          <w:lang w:eastAsia="zh-TW"/>
        </w:rPr>
      </w:pPr>
      <w:r>
        <w:rPr>
          <w:color w:val="C8D2E1"/>
          <w:lang w:eastAsia="zh-TW"/>
        </w:rPr>
        <w:t>❖   ❖   ❖</w:t>
      </w:r>
    </w:p>
    <w:p w14:paraId="07F6706C" w14:textId="77777777" w:rsidR="001A0CF9" w:rsidRDefault="00000000">
      <w:pPr>
        <w:keepNext/>
        <w:spacing w:before="320" w:after="120" w:line="288" w:lineRule="auto"/>
        <w:rPr>
          <w:lang w:eastAsia="zh-TW"/>
        </w:rPr>
      </w:pPr>
      <w:r>
        <w:rPr>
          <w:rFonts w:ascii="微軟正黑體" w:hAnsi="微軟正黑體"/>
          <w:b/>
          <w:color w:val="1B365D"/>
          <w:sz w:val="32"/>
          <w:lang w:eastAsia="zh-TW"/>
        </w:rPr>
        <w:t>第二部分：居民患病及死亡原因探討與統計檢定支持</w:t>
      </w:r>
    </w:p>
    <w:p w14:paraId="1443A30C" w14:textId="77777777" w:rsidR="001A0CF9" w:rsidRDefault="00000000">
      <w:pPr>
        <w:spacing w:before="40" w:after="80" w:line="288" w:lineRule="auto"/>
      </w:pPr>
      <w:proofErr w:type="spellStart"/>
      <w:r>
        <w:t>調查組本著科學鑑識精神，依據</w:t>
      </w:r>
      <w:proofErr w:type="spellEnd"/>
      <w:r>
        <w:t xml:space="preserve"> SPSS </w:t>
      </w:r>
      <w:proofErr w:type="spellStart"/>
      <w:r>
        <w:t>生物統計模型與交叉檢驗數據，以卡方獨立性檢定（</w:t>
      </w:r>
      <w:r>
        <w:t>Chi-Square</w:t>
      </w:r>
      <w:proofErr w:type="spellEnd"/>
      <w:r>
        <w:t xml:space="preserve"> Test</w:t>
      </w:r>
      <w:r>
        <w:t>）、</w:t>
      </w:r>
      <w:proofErr w:type="spellStart"/>
      <w:r>
        <w:t>概似比檢定、</w:t>
      </w:r>
      <w:r>
        <w:t>Fisher</w:t>
      </w:r>
      <w:proofErr w:type="spellEnd"/>
      <w:r>
        <w:t xml:space="preserve"> </w:t>
      </w:r>
      <w:r>
        <w:t>精確檢定、相對風險比（</w:t>
      </w:r>
      <w:r>
        <w:t>Risk Ratio, RR</w:t>
      </w:r>
      <w:r>
        <w:t>）與勝算比（</w:t>
      </w:r>
      <w:r>
        <w:t>Odds Ratio, OR</w:t>
      </w:r>
      <w:r>
        <w:t>），對居民患病與死亡的可能原因進行深入剖析。</w:t>
      </w:r>
    </w:p>
    <w:p w14:paraId="01D2C59A" w14:textId="77777777" w:rsidR="001A0CF9" w:rsidRDefault="00000000">
      <w:pPr>
        <w:keepNext/>
        <w:spacing w:before="240" w:after="80" w:line="288" w:lineRule="auto"/>
        <w:rPr>
          <w:lang w:eastAsia="zh-TW"/>
        </w:rPr>
      </w:pPr>
      <w:r>
        <w:rPr>
          <w:rFonts w:ascii="微軟正黑體" w:hAnsi="微軟正黑體"/>
          <w:b/>
          <w:color w:val="2B4C7E"/>
          <w:sz w:val="26"/>
          <w:lang w:eastAsia="zh-TW"/>
        </w:rPr>
        <w:t>一、</w:t>
      </w:r>
      <w:r>
        <w:rPr>
          <w:rFonts w:ascii="微軟正黑體" w:hAnsi="微軟正黑體"/>
          <w:b/>
          <w:color w:val="2B4C7E"/>
          <w:sz w:val="26"/>
          <w:lang w:eastAsia="zh-TW"/>
        </w:rPr>
        <w:t xml:space="preserve"> </w:t>
      </w:r>
      <w:r>
        <w:rPr>
          <w:rFonts w:ascii="微軟正黑體" w:hAnsi="微軟正黑體"/>
          <w:b/>
          <w:color w:val="2B4C7E"/>
          <w:sz w:val="26"/>
          <w:lang w:eastAsia="zh-TW"/>
        </w:rPr>
        <w:t>調查結論：居民患病及死亡之唯一根本原因為「深井水污染」</w:t>
      </w:r>
    </w:p>
    <w:p w14:paraId="0DF347F1" w14:textId="77777777" w:rsidR="001A0CF9" w:rsidRDefault="00000000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經由大數據矩陣與流行病學反覆排查，排除年齡衰老與性別易感性後，調查結果得出鐵證：橘郡異常事件爆發的唯一決定性致病源為「深井地下水（</w:t>
      </w:r>
      <w:r>
        <w:rPr>
          <w:lang w:eastAsia="zh-TW"/>
        </w:rPr>
        <w:t>Deep well</w:t>
      </w:r>
      <w:r>
        <w:rPr>
          <w:lang w:eastAsia="zh-TW"/>
        </w:rPr>
        <w:t>）」。橘郡深層地下含水層已遭致死生化毒素全面浸染。</w:t>
      </w:r>
    </w:p>
    <w:p w14:paraId="491B955C" w14:textId="77777777" w:rsidR="001A0CF9" w:rsidRDefault="00000000">
      <w:pPr>
        <w:keepNext/>
        <w:spacing w:before="240" w:after="80" w:line="288" w:lineRule="auto"/>
        <w:rPr>
          <w:lang w:eastAsia="zh-TW"/>
        </w:rPr>
      </w:pPr>
      <w:r>
        <w:rPr>
          <w:rFonts w:ascii="微軟正黑體" w:hAnsi="微軟正黑體"/>
          <w:b/>
          <w:color w:val="2B4C7E"/>
          <w:sz w:val="26"/>
          <w:lang w:eastAsia="zh-TW"/>
        </w:rPr>
        <w:t>二、</w:t>
      </w:r>
      <w:r>
        <w:rPr>
          <w:rFonts w:ascii="微軟正黑體" w:hAnsi="微軟正黑體"/>
          <w:b/>
          <w:color w:val="2B4C7E"/>
          <w:sz w:val="26"/>
          <w:lang w:eastAsia="zh-TW"/>
        </w:rPr>
        <w:t xml:space="preserve"> </w:t>
      </w:r>
      <w:r>
        <w:rPr>
          <w:rFonts w:ascii="微軟正黑體" w:hAnsi="微軟正黑體"/>
          <w:b/>
          <w:color w:val="2B4C7E"/>
          <w:sz w:val="26"/>
          <w:lang w:eastAsia="zh-TW"/>
        </w:rPr>
        <w:t>卡方檢定統計資料（包含卡方值及</w:t>
      </w:r>
      <w:r>
        <w:rPr>
          <w:rFonts w:ascii="微軟正黑體" w:hAnsi="微軟正黑體"/>
          <w:b/>
          <w:color w:val="2B4C7E"/>
          <w:sz w:val="26"/>
          <w:lang w:eastAsia="zh-TW"/>
        </w:rPr>
        <w:t xml:space="preserve"> P </w:t>
      </w:r>
      <w:r>
        <w:rPr>
          <w:rFonts w:ascii="微軟正黑體" w:hAnsi="微軟正黑體"/>
          <w:b/>
          <w:color w:val="2B4C7E"/>
          <w:sz w:val="26"/>
          <w:lang w:eastAsia="zh-TW"/>
        </w:rPr>
        <w:t>值）</w:t>
      </w:r>
    </w:p>
    <w:p w14:paraId="423DCCBA" w14:textId="77777777" w:rsidR="001A0CF9" w:rsidRDefault="00000000">
      <w:pPr>
        <w:keepNext/>
        <w:spacing w:before="160" w:after="40" w:line="288" w:lineRule="auto"/>
        <w:rPr>
          <w:lang w:eastAsia="zh-TW"/>
        </w:rPr>
      </w:pPr>
      <w:r>
        <w:rPr>
          <w:rFonts w:ascii="微軟正黑體" w:hAnsi="微軟正黑體"/>
          <w:b/>
          <w:color w:val="2C5282"/>
          <w:lang w:eastAsia="zh-TW"/>
        </w:rPr>
        <w:t>（一）</w:t>
      </w:r>
      <w:r>
        <w:rPr>
          <w:rFonts w:ascii="微軟正黑體" w:hAnsi="微軟正黑體"/>
          <w:b/>
          <w:color w:val="2C5282"/>
          <w:lang w:eastAsia="zh-TW"/>
        </w:rPr>
        <w:t xml:space="preserve"> </w:t>
      </w:r>
      <w:r>
        <w:rPr>
          <w:rFonts w:ascii="微軟正黑體" w:hAnsi="微軟正黑體"/>
          <w:b/>
          <w:color w:val="2C5282"/>
          <w:lang w:eastAsia="zh-TW"/>
        </w:rPr>
        <w:t>三大飲用水來源與存活</w:t>
      </w:r>
      <w:r>
        <w:rPr>
          <w:rFonts w:ascii="微軟正黑體" w:hAnsi="微軟正黑體"/>
          <w:b/>
          <w:color w:val="2C5282"/>
          <w:lang w:eastAsia="zh-TW"/>
        </w:rPr>
        <w:t>/</w:t>
      </w:r>
      <w:r>
        <w:rPr>
          <w:rFonts w:ascii="微軟正黑體" w:hAnsi="微軟正黑體"/>
          <w:b/>
          <w:color w:val="2C5282"/>
          <w:lang w:eastAsia="zh-TW"/>
        </w:rPr>
        <w:t>死亡之卡方檢定</w:t>
      </w:r>
    </w:p>
    <w:p w14:paraId="57E3E166" w14:textId="77777777" w:rsidR="001A0CF9" w:rsidRDefault="00000000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將三大飲用水源與終端存活狀態進行雙變量交叉表分析：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560"/>
        <w:gridCol w:w="312"/>
        <w:gridCol w:w="1248"/>
        <w:gridCol w:w="624"/>
        <w:gridCol w:w="936"/>
        <w:gridCol w:w="936"/>
        <w:gridCol w:w="624"/>
        <w:gridCol w:w="1248"/>
        <w:gridCol w:w="312"/>
        <w:gridCol w:w="1560"/>
      </w:tblGrid>
      <w:tr w:rsidR="001A0CF9" w14:paraId="3C0E939C" w14:textId="77777777">
        <w:trPr>
          <w:jc w:val="center"/>
        </w:trPr>
        <w:tc>
          <w:tcPr>
            <w:tcW w:w="156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ADA1F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lastRenderedPageBreak/>
              <w:t>飲用水來源種類</w:t>
            </w:r>
            <w:proofErr w:type="spellEnd"/>
          </w:p>
        </w:tc>
        <w:tc>
          <w:tcPr>
            <w:tcW w:w="1560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ECFD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存活人數（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alive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78F1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死亡人數（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Dead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9637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組內合計人數</w:t>
            </w:r>
          </w:p>
        </w:tc>
        <w:tc>
          <w:tcPr>
            <w:tcW w:w="1560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9745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組內死亡率（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0281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組內存活率（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</w:tr>
      <w:tr w:rsidR="001A0CF9" w14:paraId="424FE94E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19A5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</w:t>
            </w:r>
            <w:r>
              <w:rPr>
                <w:rFonts w:ascii="微軟正黑體" w:hAnsi="微軟正黑體"/>
                <w:color w:val="2D3748"/>
                <w:sz w:val="19"/>
              </w:rPr>
              <w:t>Top water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9FCA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F5E3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EA7C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6FC2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0.00%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4E20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</w:tr>
      <w:tr w:rsidR="001A0CF9" w14:paraId="0EDE2393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6292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</w:t>
            </w:r>
            <w:r>
              <w:rPr>
                <w:rFonts w:ascii="微軟正黑體" w:hAnsi="微軟正黑體"/>
                <w:color w:val="2D3748"/>
                <w:sz w:val="19"/>
              </w:rPr>
              <w:t>shallow well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6AD5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101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5B8F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53F5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B7FC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12.17%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23A9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87.83%</w:t>
            </w:r>
          </w:p>
        </w:tc>
      </w:tr>
      <w:tr w:rsidR="001A0CF9" w14:paraId="3BB3F2E5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76FC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</w:t>
            </w:r>
            <w:r>
              <w:rPr>
                <w:rFonts w:ascii="微軟正黑體" w:hAnsi="微軟正黑體"/>
                <w:color w:val="2D3748"/>
                <w:sz w:val="19"/>
              </w:rPr>
              <w:t>Deep well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81A0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B7E9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501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4775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2400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99.80%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04CE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0.20%</w:t>
            </w:r>
          </w:p>
        </w:tc>
      </w:tr>
      <w:tr w:rsidR="001A0CF9" w14:paraId="1AAF2E59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A0A0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全郡合計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F189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F2A3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515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3E26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1D33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76.98%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02B70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23.02%</w:t>
            </w:r>
          </w:p>
        </w:tc>
      </w:tr>
      <w:tr w:rsidR="001A0CF9" w14:paraId="3690F6E4" w14:textId="77777777">
        <w:trPr>
          <w:jc w:val="center"/>
        </w:trPr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1CAD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統計檢定方法</w:t>
            </w:r>
          </w:p>
        </w:tc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EC6D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卡方值（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Value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FC75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自由度（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df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EC07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P 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值（雙尾顯著性）</w:t>
            </w:r>
          </w:p>
        </w:tc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9DAF0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統計推論與判讀結果</w:t>
            </w:r>
          </w:p>
        </w:tc>
      </w:tr>
      <w:tr w:rsidR="001A0CF9" w14:paraId="193FBB1D" w14:textId="77777777">
        <w:trPr>
          <w:jc w:val="center"/>
        </w:trPr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C4A2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Pearson </w:t>
            </w:r>
            <w:r>
              <w:rPr>
                <w:rFonts w:ascii="微軟正黑體" w:hAnsi="微軟正黑體"/>
                <w:color w:val="2D3748"/>
                <w:sz w:val="19"/>
              </w:rPr>
              <w:t>卡方檢定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(Chi-Square)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6161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593.981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A01F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A2E8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(P = .000)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6F988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極顯著！飲用水源與死亡存在絕對依賴關聯</w:t>
            </w:r>
          </w:p>
        </w:tc>
      </w:tr>
      <w:tr w:rsidR="001A0CF9" w14:paraId="5DBA44CB" w14:textId="77777777">
        <w:trPr>
          <w:jc w:val="center"/>
        </w:trPr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9FFCF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概似比檢定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(Likelihood Ratio)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76B7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622.244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3523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687A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(P = .000)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E48C3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強烈支持水源為致病死亡之獨立決定因子</w:t>
            </w:r>
          </w:p>
        </w:tc>
      </w:tr>
      <w:tr w:rsidR="001A0CF9" w14:paraId="2F077817" w14:textId="77777777">
        <w:trPr>
          <w:jc w:val="center"/>
        </w:trPr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E056C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有效觀察樣本總數</w:t>
            </w:r>
            <w:proofErr w:type="spellEnd"/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2ECB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09C5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BCB9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D5876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0 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格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(0.0%) 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預期個數小於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5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，檢定效力完備</w:t>
            </w:r>
          </w:p>
        </w:tc>
      </w:tr>
    </w:tbl>
    <w:p w14:paraId="4C96E04C" w14:textId="7248D601" w:rsidR="001A0CF9" w:rsidRDefault="00000000">
      <w:pPr>
        <w:keepNext/>
        <w:spacing w:before="160" w:after="40" w:line="288" w:lineRule="auto"/>
        <w:rPr>
          <w:lang w:eastAsia="zh-TW"/>
        </w:rPr>
      </w:pPr>
      <w:r>
        <w:rPr>
          <w:rFonts w:ascii="微軟正黑體" w:hAnsi="微軟正黑體"/>
          <w:b/>
          <w:color w:val="2C5282"/>
          <w:lang w:eastAsia="zh-TW"/>
        </w:rPr>
        <w:t>（二）</w:t>
      </w:r>
      <w:r>
        <w:rPr>
          <w:rFonts w:ascii="微軟正黑體" w:hAnsi="微軟正黑體"/>
          <w:b/>
          <w:color w:val="2C5282"/>
          <w:lang w:eastAsia="zh-TW"/>
        </w:rPr>
        <w:t xml:space="preserve"> </w:t>
      </w:r>
      <w:r>
        <w:rPr>
          <w:rFonts w:ascii="微軟正黑體" w:hAnsi="微軟正黑體"/>
          <w:b/>
          <w:color w:val="2C5282"/>
          <w:lang w:eastAsia="zh-TW"/>
        </w:rPr>
        <w:t>水源分組（</w:t>
      </w:r>
      <w:r>
        <w:rPr>
          <w:rFonts w:ascii="微軟正黑體" w:hAnsi="微軟正黑體"/>
          <w:b/>
          <w:color w:val="2C5282"/>
          <w:lang w:eastAsia="zh-TW"/>
        </w:rPr>
        <w:t>Group 1 vs Group 2</w:t>
      </w:r>
      <w:r>
        <w:rPr>
          <w:rFonts w:ascii="微軟正黑體" w:hAnsi="微軟正黑體"/>
          <w:b/>
          <w:color w:val="2C5282"/>
          <w:lang w:eastAsia="zh-TW"/>
        </w:rPr>
        <w:t>）之卡方檢定</w:t>
      </w:r>
    </w:p>
    <w:p w14:paraId="72EA4CD7" w14:textId="77777777" w:rsidR="00680737" w:rsidRDefault="00680737" w:rsidP="00680737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為嚴謹評估「深井地下水暴露」帶來的致死威脅，將安全</w:t>
      </w:r>
      <w:r>
        <w:rPr>
          <w:lang w:eastAsia="zh-TW"/>
        </w:rPr>
        <w:t>/</w:t>
      </w:r>
      <w:r>
        <w:rPr>
          <w:lang w:eastAsia="zh-TW"/>
        </w:rPr>
        <w:t>低危的自來水與淺井水合併為第一組（</w:t>
      </w:r>
      <w:r>
        <w:rPr>
          <w:lang w:eastAsia="zh-TW"/>
        </w:rPr>
        <w:t>Group 1, n=167</w:t>
      </w:r>
      <w:r>
        <w:rPr>
          <w:lang w:eastAsia="zh-TW"/>
        </w:rPr>
        <w:t>），對照深井水第二組（</w:t>
      </w:r>
      <w:r>
        <w:rPr>
          <w:lang w:eastAsia="zh-TW"/>
        </w:rPr>
        <w:t>Group 2, n=502</w:t>
      </w:r>
      <w:r>
        <w:rPr>
          <w:lang w:eastAsia="zh-TW"/>
        </w:rPr>
        <w:t>）：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560"/>
        <w:gridCol w:w="312"/>
        <w:gridCol w:w="1248"/>
        <w:gridCol w:w="624"/>
        <w:gridCol w:w="936"/>
        <w:gridCol w:w="936"/>
        <w:gridCol w:w="624"/>
        <w:gridCol w:w="1248"/>
        <w:gridCol w:w="312"/>
        <w:gridCol w:w="1560"/>
      </w:tblGrid>
      <w:tr w:rsidR="001A0CF9" w14:paraId="5D4A1A95" w14:textId="77777777">
        <w:trPr>
          <w:jc w:val="center"/>
        </w:trPr>
        <w:tc>
          <w:tcPr>
            <w:tcW w:w="156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71FD1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t>水源分組</w:t>
            </w:r>
            <w:proofErr w:type="spellEnd"/>
          </w:p>
        </w:tc>
        <w:tc>
          <w:tcPr>
            <w:tcW w:w="1560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C760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存活人數（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alive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8FA5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死亡人數（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Dead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8583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組內合計人數</w:t>
            </w:r>
          </w:p>
        </w:tc>
        <w:tc>
          <w:tcPr>
            <w:tcW w:w="1560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DC8F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組內死亡率（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39D6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組內存活率（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</w:tr>
      <w:tr w:rsidR="001A0CF9" w14:paraId="48EC68F4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ABFB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</w:t>
            </w:r>
            <w:r>
              <w:rPr>
                <w:rFonts w:ascii="微軟正黑體" w:hAnsi="微軟正黑體"/>
                <w:color w:val="2D3748"/>
                <w:sz w:val="19"/>
              </w:rPr>
              <w:t>（自來</w:t>
            </w:r>
            <w:r>
              <w:rPr>
                <w:rFonts w:ascii="微軟正黑體" w:hAnsi="微軟正黑體"/>
                <w:color w:val="2D3748"/>
                <w:sz w:val="19"/>
              </w:rPr>
              <w:lastRenderedPageBreak/>
              <w:t>水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+ </w:t>
            </w:r>
            <w:r>
              <w:rPr>
                <w:rFonts w:ascii="微軟正黑體" w:hAnsi="微軟正黑體"/>
                <w:color w:val="2D3748"/>
                <w:sz w:val="19"/>
              </w:rPr>
              <w:t>淺井水）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A87E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lastRenderedPageBreak/>
              <w:t>153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DA03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8F16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167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2649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8.38%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AFDE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91.62%</w:t>
            </w:r>
          </w:p>
        </w:tc>
      </w:tr>
      <w:tr w:rsidR="001A0CF9" w14:paraId="33492413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33C2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2</w:t>
            </w:r>
            <w:r>
              <w:rPr>
                <w:rFonts w:ascii="微軟正黑體" w:hAnsi="微軟正黑體"/>
                <w:color w:val="2D3748"/>
                <w:sz w:val="19"/>
              </w:rPr>
              <w:t>（深井地下水）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739A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C5A5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501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2BA2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C88C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99.80%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89BA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0.20%</w:t>
            </w:r>
          </w:p>
        </w:tc>
      </w:tr>
      <w:tr w:rsidR="001A0CF9" w14:paraId="7061F614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9B9C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全郡總計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8EF1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154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84EF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515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A5A3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476F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76.98%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5441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23.02%</w:t>
            </w:r>
          </w:p>
        </w:tc>
      </w:tr>
      <w:tr w:rsidR="001A0CF9" w14:paraId="59837FD9" w14:textId="77777777">
        <w:trPr>
          <w:jc w:val="center"/>
        </w:trPr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A414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2x2 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表格統計檢定項目</w:t>
            </w:r>
          </w:p>
        </w:tc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7C6F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卡方值（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Value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8E12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自由度（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df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24C7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P 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值（雙尾顯著性）</w:t>
            </w:r>
          </w:p>
        </w:tc>
        <w:tc>
          <w:tcPr>
            <w:tcW w:w="1872" w:type="dxa"/>
            <w:gridSpan w:val="2"/>
            <w:shd w:val="clear" w:color="auto" w:fill="2B4C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C4D0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統計實質推論</w:t>
            </w:r>
          </w:p>
        </w:tc>
      </w:tr>
      <w:tr w:rsidR="001A0CF9" w14:paraId="34C473E2" w14:textId="77777777">
        <w:trPr>
          <w:jc w:val="center"/>
        </w:trPr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C892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Pearson </w:t>
            </w:r>
            <w:r>
              <w:rPr>
                <w:rFonts w:ascii="微軟正黑體" w:hAnsi="微軟正黑體"/>
                <w:color w:val="2D3748"/>
                <w:sz w:val="19"/>
              </w:rPr>
              <w:t>卡方檢定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(Chi-Square)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6E83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590.987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7B5F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D783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(.000)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A8105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壓倒性顯著，深井水與死亡具有強烈因果關聯</w:t>
            </w:r>
          </w:p>
        </w:tc>
      </w:tr>
      <w:tr w:rsidR="001A0CF9" w14:paraId="2EB358F0" w14:textId="77777777">
        <w:trPr>
          <w:jc w:val="center"/>
        </w:trPr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E817C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連續性校正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(Continuity Correction)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A70D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585.839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7356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7A53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(.000)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982FF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消除格數離散偏差後仍保持極度顯著</w:t>
            </w:r>
          </w:p>
        </w:tc>
      </w:tr>
      <w:tr w:rsidR="001A0CF9" w14:paraId="0A25B5DD" w14:textId="77777777">
        <w:trPr>
          <w:jc w:val="center"/>
        </w:trPr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7C30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Fisher's </w:t>
            </w: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精確檢定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(Fisher's Exact)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1ED8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3771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D909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(.000)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0D0C3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雙尾與單尾顯著性均為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0.000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，結論不可撼動</w:t>
            </w:r>
          </w:p>
        </w:tc>
      </w:tr>
    </w:tbl>
    <w:p w14:paraId="63BE9DD9" w14:textId="77777777" w:rsidR="001A0CF9" w:rsidRDefault="00000000">
      <w:pPr>
        <w:keepNext/>
        <w:spacing w:before="240" w:after="80" w:line="288" w:lineRule="auto"/>
      </w:pPr>
      <w:r>
        <w:rPr>
          <w:rFonts w:ascii="微軟正黑體" w:hAnsi="微軟正黑體"/>
          <w:b/>
          <w:color w:val="2B4C7E"/>
          <w:sz w:val="26"/>
        </w:rPr>
        <w:t>三、</w:t>
      </w:r>
      <w:r>
        <w:rPr>
          <w:rFonts w:ascii="微軟正黑體" w:hAnsi="微軟正黑體"/>
          <w:b/>
          <w:color w:val="2B4C7E"/>
          <w:sz w:val="26"/>
        </w:rPr>
        <w:t xml:space="preserve"> </w:t>
      </w:r>
      <w:proofErr w:type="spellStart"/>
      <w:r>
        <w:rPr>
          <w:rFonts w:ascii="微軟正黑體" w:hAnsi="微軟正黑體"/>
          <w:b/>
          <w:color w:val="2B4C7E"/>
          <w:sz w:val="26"/>
        </w:rPr>
        <w:t>風險比（</w:t>
      </w:r>
      <w:r>
        <w:rPr>
          <w:rFonts w:ascii="微軟正黑體" w:hAnsi="微軟正黑體"/>
          <w:b/>
          <w:color w:val="2B4C7E"/>
          <w:sz w:val="26"/>
        </w:rPr>
        <w:t>Relative</w:t>
      </w:r>
      <w:proofErr w:type="spellEnd"/>
      <w:r>
        <w:rPr>
          <w:rFonts w:ascii="微軟正黑體" w:hAnsi="微軟正黑體"/>
          <w:b/>
          <w:color w:val="2B4C7E"/>
          <w:sz w:val="26"/>
        </w:rPr>
        <w:t xml:space="preserve"> Risk, </w:t>
      </w:r>
      <w:proofErr w:type="spellStart"/>
      <w:r>
        <w:rPr>
          <w:rFonts w:ascii="微軟正黑體" w:hAnsi="微軟正黑體"/>
          <w:b/>
          <w:color w:val="2B4C7E"/>
          <w:sz w:val="26"/>
        </w:rPr>
        <w:t>RR</w:t>
      </w:r>
      <w:r>
        <w:rPr>
          <w:rFonts w:ascii="微軟正黑體" w:hAnsi="微軟正黑體"/>
          <w:b/>
          <w:color w:val="2B4C7E"/>
          <w:sz w:val="26"/>
        </w:rPr>
        <w:t>）與勝算比（</w:t>
      </w:r>
      <w:r>
        <w:rPr>
          <w:rFonts w:ascii="微軟正黑體" w:hAnsi="微軟正黑體"/>
          <w:b/>
          <w:color w:val="2B4C7E"/>
          <w:sz w:val="26"/>
        </w:rPr>
        <w:t>Odds</w:t>
      </w:r>
      <w:proofErr w:type="spellEnd"/>
      <w:r>
        <w:rPr>
          <w:rFonts w:ascii="微軟正黑體" w:hAnsi="微軟正黑體"/>
          <w:b/>
          <w:color w:val="2B4C7E"/>
          <w:sz w:val="26"/>
        </w:rPr>
        <w:t xml:space="preserve"> Ratio, OR</w:t>
      </w:r>
      <w:r>
        <w:rPr>
          <w:rFonts w:ascii="微軟正黑體" w:hAnsi="微軟正黑體"/>
          <w:b/>
          <w:color w:val="2B4C7E"/>
          <w:sz w:val="26"/>
        </w:rPr>
        <w:t>）全面支持</w:t>
      </w:r>
    </w:p>
    <w:p w14:paraId="22BA8160" w14:textId="77777777" w:rsidR="001A0CF9" w:rsidRDefault="00000000">
      <w:pPr>
        <w:spacing w:before="40" w:after="80" w:line="288" w:lineRule="auto"/>
      </w:pPr>
      <w:r>
        <w:t>流行病學風險量化指標為本次調查提供了堅不可摧的證據支撐：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  <w:gridCol w:w="80"/>
      </w:tblGrid>
      <w:tr w:rsidR="001A0CF9" w14:paraId="596C5D05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1F6C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風險與勝算估計指標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5CF6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計算數值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3178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95% 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信賴區間（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95% CI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9B5A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P 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值</w:t>
            </w:r>
          </w:p>
        </w:tc>
        <w:tc>
          <w:tcPr>
            <w:tcW w:w="1872" w:type="dxa"/>
            <w:gridSpan w:val="2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BE427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FFFFFF"/>
                <w:sz w:val="19"/>
                <w:lang w:eastAsia="zh-TW"/>
              </w:rPr>
              <w:t>流行病學破案判定意義</w:t>
            </w:r>
          </w:p>
        </w:tc>
      </w:tr>
      <w:tr w:rsidR="001A0CF9" w14:paraId="4E0129F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97324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死亡相對風險比（</w:t>
            </w:r>
            <w:r>
              <w:rPr>
                <w:rFonts w:ascii="微軟正黑體" w:hAnsi="微軟正黑體"/>
                <w:color w:val="2D3748"/>
                <w:sz w:val="19"/>
              </w:rPr>
              <w:t>RR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for Death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  <w:r>
              <w:rPr>
                <w:rFonts w:ascii="微軟正黑體" w:hAnsi="微軟正黑體"/>
                <w:color w:val="2D3748"/>
                <w:sz w:val="19"/>
              </w:rPr>
              <w:br/>
              <w:t>Group 2</w:t>
            </w:r>
            <w:r>
              <w:rPr>
                <w:rFonts w:ascii="微軟正黑體" w:hAnsi="微軟正黑體"/>
                <w:color w:val="2D3748"/>
                <w:sz w:val="19"/>
              </w:rPr>
              <w:t>（深井水）相對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Group 1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2FC4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11.905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40AB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7.185 </w:t>
            </w:r>
            <w:r>
              <w:rPr>
                <w:rFonts w:ascii="微軟正黑體" w:hAnsi="微軟正黑體"/>
                <w:color w:val="2D3748"/>
                <w:sz w:val="19"/>
              </w:rPr>
              <w:t>～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19.721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C557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88709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飲用深井水居民之死亡風險是第一組水源之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11.9 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倍！</w:t>
            </w:r>
          </w:p>
        </w:tc>
      </w:tr>
      <w:tr w:rsidR="001A0CF9" w14:paraId="0F9967BB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34CA3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存活相對風險比（</w:t>
            </w:r>
            <w:r>
              <w:rPr>
                <w:rFonts w:ascii="微軟正黑體" w:hAnsi="微軟正黑體"/>
                <w:color w:val="2D3748"/>
                <w:sz w:val="19"/>
              </w:rPr>
              <w:t>RR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for Alive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  <w:r>
              <w:rPr>
                <w:rFonts w:ascii="微軟正黑體" w:hAnsi="微軟正黑體"/>
                <w:color w:val="2D3748"/>
                <w:sz w:val="19"/>
              </w:rPr>
              <w:br/>
              <w:t xml:space="preserve">Group 1 </w:t>
            </w:r>
            <w:r>
              <w:rPr>
                <w:rFonts w:ascii="微軟正黑體" w:hAnsi="微軟正黑體"/>
                <w:color w:val="2D3748"/>
                <w:sz w:val="19"/>
              </w:rPr>
              <w:t>相對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Group 2</w:t>
            </w:r>
            <w:r>
              <w:rPr>
                <w:rFonts w:ascii="微軟正黑體" w:hAnsi="微軟正黑體"/>
                <w:color w:val="2D3748"/>
                <w:sz w:val="19"/>
              </w:rPr>
              <w:t>（深井水）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FB84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459.916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D0B9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64.877 </w:t>
            </w:r>
            <w:r>
              <w:rPr>
                <w:rFonts w:ascii="微軟正黑體" w:hAnsi="微軟正黑體"/>
                <w:color w:val="2D3748"/>
                <w:sz w:val="19"/>
              </w:rPr>
              <w:t>～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3260.359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2F94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2CE19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飲用自來水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/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淺井水者之生還機率為深井水組的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460 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倍</w:t>
            </w:r>
          </w:p>
        </w:tc>
      </w:tr>
      <w:tr w:rsidR="001A0CF9" w14:paraId="64C28E7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D31D3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lastRenderedPageBreak/>
              <w:t>存活勝算比（</w:t>
            </w:r>
            <w:r>
              <w:rPr>
                <w:rFonts w:ascii="微軟正黑體" w:hAnsi="微軟正黑體"/>
                <w:color w:val="2D3748"/>
                <w:sz w:val="19"/>
              </w:rPr>
              <w:t>OR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for Alive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  <w:r>
              <w:rPr>
                <w:rFonts w:ascii="微軟正黑體" w:hAnsi="微軟正黑體"/>
                <w:color w:val="2D3748"/>
                <w:sz w:val="19"/>
              </w:rPr>
              <w:br/>
              <w:t>Group 1 vs Group 2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D2AA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5475.214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AB2B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714.205 </w:t>
            </w:r>
            <w:r>
              <w:rPr>
                <w:rFonts w:ascii="微軟正黑體" w:hAnsi="微軟正黑體"/>
                <w:color w:val="2D3748"/>
                <w:sz w:val="19"/>
              </w:rPr>
              <w:t>～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41973.922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80DF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w="1872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BDE79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第一組水源居民之存活勝算是深井水居民的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5475 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倍！</w:t>
            </w:r>
          </w:p>
        </w:tc>
      </w:tr>
      <w:tr w:rsidR="001A0CF9" w14:paraId="3A5FCD3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04226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死亡勝算比（</w:t>
            </w:r>
            <w:r>
              <w:rPr>
                <w:rFonts w:ascii="微軟正黑體" w:hAnsi="微軟正黑體"/>
                <w:color w:val="2D3748"/>
                <w:sz w:val="19"/>
              </w:rPr>
              <w:t>OR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for Death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  <w:r>
              <w:rPr>
                <w:rFonts w:ascii="微軟正黑體" w:hAnsi="微軟正黑體"/>
                <w:color w:val="2D3748"/>
                <w:sz w:val="19"/>
              </w:rPr>
              <w:br/>
              <w:t>Group 2 vs Group 1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67A4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5475.214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CF04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714.205 </w:t>
            </w:r>
            <w:r>
              <w:rPr>
                <w:rFonts w:ascii="微軟正黑體" w:hAnsi="微軟正黑體"/>
                <w:color w:val="2D3748"/>
                <w:sz w:val="19"/>
              </w:rPr>
              <w:t>～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41973.922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A6D0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w="1872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62113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深井水居民之死亡勝算高達第一組水源的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 xml:space="preserve"> 5475 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倍！</w:t>
            </w:r>
          </w:p>
        </w:tc>
      </w:tr>
      <w:tr w:rsidR="001A0CF9" w14:paraId="6E8F5E1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80" w:type="dxa"/>
          <w:jc w:val="center"/>
        </w:trPr>
        <w:tc>
          <w:tcPr>
            <w:tcW w:w="9360" w:type="dxa"/>
            <w:gridSpan w:val="5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F8AE0" w14:textId="77777777" w:rsidR="001A0CF9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>【兩兩水源專題對比】</w:t>
            </w: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 xml:space="preserve">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1.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深井水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vs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淺井水：死亡率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99.80% vs 12.17%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，死亡相對風險比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RR = 8.20 (95% CI: 5.03 ~ 13.36, p &lt; 0.001)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，勝算比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OR = 3614.36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。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br/>
              <w:t xml:space="preserve">2.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淺井水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vs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自來水：死亡率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12.17% vs 0.00%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，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Fisher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精確檢定雙尾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p = 0.0056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。證明淺井水亦存在微量毒素滲透，但自來水系統仍堅不可摧。</w:t>
            </w:r>
          </w:p>
        </w:tc>
      </w:tr>
    </w:tbl>
    <w:p w14:paraId="0D193A00" w14:textId="77777777" w:rsidR="001A0CF9" w:rsidRDefault="001A0CF9">
      <w:pPr>
        <w:spacing w:after="80"/>
        <w:rPr>
          <w:lang w:eastAsia="zh-TW"/>
        </w:rPr>
      </w:pPr>
    </w:p>
    <w:p w14:paraId="1BD2DAE8" w14:textId="77777777" w:rsidR="001A0CF9" w:rsidRDefault="00000000">
      <w:pPr>
        <w:keepNext/>
        <w:spacing w:before="160" w:after="40" w:line="288" w:lineRule="auto"/>
        <w:rPr>
          <w:lang w:eastAsia="zh-TW"/>
        </w:rPr>
      </w:pPr>
      <w:r>
        <w:rPr>
          <w:rFonts w:ascii="微軟正黑體" w:hAnsi="微軟正黑體"/>
          <w:b/>
          <w:color w:val="2C5282"/>
          <w:lang w:eastAsia="zh-TW"/>
        </w:rPr>
        <w:t>（三）</w:t>
      </w:r>
      <w:r>
        <w:rPr>
          <w:rFonts w:ascii="微軟正黑體" w:hAnsi="微軟正黑體"/>
          <w:b/>
          <w:color w:val="2C5282"/>
          <w:lang w:eastAsia="zh-TW"/>
        </w:rPr>
        <w:t xml:space="preserve"> </w:t>
      </w:r>
      <w:r>
        <w:rPr>
          <w:rFonts w:ascii="微軟正黑體" w:hAnsi="微軟正黑體"/>
          <w:b/>
          <w:color w:val="2C5282"/>
          <w:lang w:eastAsia="zh-TW"/>
        </w:rPr>
        <w:t>水源與患病嚴重程度之「劑量</w:t>
      </w:r>
      <w:r>
        <w:rPr>
          <w:rFonts w:ascii="微軟正黑體" w:hAnsi="微軟正黑體"/>
          <w:b/>
          <w:color w:val="2C5282"/>
          <w:lang w:eastAsia="zh-TW"/>
        </w:rPr>
        <w:t>-</w:t>
      </w:r>
      <w:r>
        <w:rPr>
          <w:rFonts w:ascii="微軟正黑體" w:hAnsi="微軟正黑體"/>
          <w:b/>
          <w:color w:val="2C5282"/>
          <w:lang w:eastAsia="zh-TW"/>
        </w:rPr>
        <w:t>反應梯度（</w:t>
      </w:r>
      <w:r>
        <w:rPr>
          <w:rFonts w:ascii="微軟正黑體" w:hAnsi="微軟正黑體"/>
          <w:b/>
          <w:color w:val="2C5282"/>
          <w:lang w:eastAsia="zh-TW"/>
        </w:rPr>
        <w:t>Dose-Response</w:t>
      </w:r>
      <w:r>
        <w:rPr>
          <w:rFonts w:ascii="微軟正黑體" w:hAnsi="微軟正黑體"/>
          <w:b/>
          <w:color w:val="2C5282"/>
          <w:lang w:eastAsia="zh-TW"/>
        </w:rPr>
        <w:t>）」</w:t>
      </w:r>
    </w:p>
    <w:p w14:paraId="0324C602" w14:textId="77777777" w:rsidR="001A0CF9" w:rsidRDefault="00000000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檢視水源類別與患病輕重程度之精確對照，可發現水文深度與中毒程度呈現嚴密之劑量正比關係：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  <w:gridCol w:w="85"/>
      </w:tblGrid>
      <w:tr w:rsidR="001A0CF9" w14:paraId="5C4CF21D" w14:textId="77777777">
        <w:trPr>
          <w:jc w:val="center"/>
        </w:trPr>
        <w:tc>
          <w:tcPr>
            <w:tcW w:w="1560" w:type="dxa"/>
            <w:shd w:val="clear" w:color="auto" w:fill="2B4C7E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CCF865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t>飲用水來源種類</w:t>
            </w:r>
            <w:proofErr w:type="spellEnd"/>
          </w:p>
        </w:tc>
        <w:tc>
          <w:tcPr>
            <w:tcW w:w="1560" w:type="dxa"/>
            <w:shd w:val="clear" w:color="auto" w:fill="2B4C7E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6200F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健康無病（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Healthy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shd w:val="clear" w:color="auto" w:fill="2B4C7E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CC4FD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輕度發病（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minor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shd w:val="clear" w:color="auto" w:fill="2B4C7E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1F967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重度發病（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severe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  <w:tc>
          <w:tcPr>
            <w:tcW w:w="1560" w:type="dxa"/>
            <w:shd w:val="clear" w:color="auto" w:fill="2B4C7E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DD19C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組內總數</w:t>
            </w:r>
          </w:p>
        </w:tc>
        <w:tc>
          <w:tcPr>
            <w:tcW w:w="1560" w:type="dxa"/>
            <w:gridSpan w:val="2"/>
            <w:shd w:val="clear" w:color="auto" w:fill="2B4C7E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3264A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重症轉化率（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%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）</w:t>
            </w:r>
          </w:p>
        </w:tc>
      </w:tr>
      <w:tr w:rsidR="001A0CF9" w14:paraId="7764A7ED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F119A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</w:t>
            </w:r>
            <w:r>
              <w:rPr>
                <w:rFonts w:ascii="微軟正黑體" w:hAnsi="微軟正黑體"/>
                <w:color w:val="2D3748"/>
                <w:sz w:val="19"/>
              </w:rPr>
              <w:t>Top water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72E53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 (100.0%)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CFD030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72822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F8CFC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48515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0.00%</w:t>
            </w:r>
            <w:r>
              <w:rPr>
                <w:rFonts w:ascii="微軟正黑體" w:hAnsi="微軟正黑體"/>
                <w:color w:val="2D3748"/>
                <w:sz w:val="19"/>
              </w:rPr>
              <w:t>（完全免役）</w:t>
            </w:r>
          </w:p>
        </w:tc>
      </w:tr>
      <w:tr w:rsidR="001A0CF9" w14:paraId="4663E6F9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8B39F0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</w:t>
            </w:r>
            <w:r>
              <w:rPr>
                <w:rFonts w:ascii="微軟正黑體" w:hAnsi="微軟正黑體"/>
                <w:color w:val="2D3748"/>
                <w:sz w:val="19"/>
              </w:rPr>
              <w:t>shallow well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3A9C5B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101 (87.8%)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8D25B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 (12.2%)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EE16A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E8180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EF8F9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0.00%</w:t>
            </w:r>
            <w:r>
              <w:rPr>
                <w:rFonts w:ascii="微軟正黑體" w:hAnsi="微軟正黑體"/>
                <w:color w:val="2D3748"/>
                <w:sz w:val="19"/>
              </w:rPr>
              <w:t>（全為輕症）</w:t>
            </w:r>
          </w:p>
        </w:tc>
      </w:tr>
      <w:tr w:rsidR="001A0CF9" w14:paraId="3A53E357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A0BFD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</w:t>
            </w:r>
            <w:r>
              <w:rPr>
                <w:rFonts w:ascii="微軟正黑體" w:hAnsi="微軟正黑體"/>
                <w:color w:val="2D3748"/>
                <w:sz w:val="19"/>
              </w:rPr>
              <w:t>Deep well</w:t>
            </w:r>
            <w:r>
              <w:rPr>
                <w:rFonts w:ascii="微軟正黑體" w:hAnsi="微軟正黑體"/>
                <w:color w:val="2D3748"/>
                <w:sz w:val="19"/>
              </w:rPr>
              <w:t>）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D6039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 (0.2%)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91238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193 (38.5%)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0BE51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 (61.4%)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5F8D3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w="1560" w:type="dxa"/>
            <w:gridSpan w:val="2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B8B71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61.35%</w:t>
            </w:r>
            <w:r>
              <w:rPr>
                <w:rFonts w:ascii="微軟正黑體" w:hAnsi="微軟正黑體"/>
                <w:color w:val="2D3748"/>
                <w:sz w:val="19"/>
              </w:rPr>
              <w:t>（重症集中地）</w:t>
            </w:r>
          </w:p>
        </w:tc>
      </w:tr>
      <w:tr w:rsidR="001A0CF9" w14:paraId="4227CF5A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45441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全郡受檢合計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52FFA0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 (23.0%)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2576F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207 (30.9%)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51B36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 (46.0%)</w:t>
            </w:r>
          </w:p>
        </w:tc>
        <w:tc>
          <w:tcPr>
            <w:tcW w:w="1560" w:type="dxa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5C4FC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w="1560" w:type="dxa"/>
            <w:gridSpan w:val="2"/>
            <w:shd w:val="clear" w:color="auto" w:fill="F8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6E866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46.04%</w:t>
            </w:r>
          </w:p>
        </w:tc>
      </w:tr>
      <w:tr w:rsidR="001A0CF9" w14:paraId="2077565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85" w:type="dxa"/>
          <w:jc w:val="center"/>
        </w:trPr>
        <w:tc>
          <w:tcPr>
            <w:tcW w:w="9360" w:type="dxa"/>
            <w:gridSpan w:val="6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A7BAD" w14:textId="77777777" w:rsidR="001A0CF9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>【水文機轉解密】</w:t>
            </w:r>
            <w:r>
              <w:rPr>
                <w:rFonts w:ascii="微軟正黑體" w:hAnsi="微軟正黑體"/>
                <w:b/>
                <w:color w:val="1B365D"/>
                <w:sz w:val="20"/>
                <w:lang w:eastAsia="zh-TW"/>
              </w:rPr>
              <w:t xml:space="preserve">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全郡所有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 308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例重症患者（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100.0%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）無一例外全部出自深井水使用者！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br/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淺井水僅誘發輕症（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 xml:space="preserve">14 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t>例），無任何重症。這完美契合水文地質擴散模型：深層地下水為污染核心原</w:t>
            </w:r>
            <w:r>
              <w:rPr>
                <w:rFonts w:ascii="微軟正黑體" w:hAnsi="微軟正黑體"/>
                <w:color w:val="2D3748"/>
                <w:sz w:val="20"/>
                <w:lang w:eastAsia="zh-TW"/>
              </w:rPr>
              <w:lastRenderedPageBreak/>
              <w:t>發灶，毒素透過地層水力坡度垂直弱滲透至淺層，形成受稀釋之微量接觸。</w:t>
            </w:r>
          </w:p>
        </w:tc>
      </w:tr>
    </w:tbl>
    <w:p w14:paraId="1D3928AC" w14:textId="77777777" w:rsidR="001A0CF9" w:rsidRDefault="001A0CF9">
      <w:pPr>
        <w:spacing w:after="80"/>
        <w:rPr>
          <w:lang w:eastAsia="zh-TW"/>
        </w:rPr>
      </w:pPr>
    </w:p>
    <w:p w14:paraId="34D9FDC4" w14:textId="77777777" w:rsidR="001A0CF9" w:rsidRDefault="00000000">
      <w:pPr>
        <w:keepNext/>
        <w:spacing w:before="160" w:after="40" w:line="288" w:lineRule="auto"/>
        <w:rPr>
          <w:lang w:eastAsia="zh-TW"/>
        </w:rPr>
      </w:pPr>
      <w:r>
        <w:rPr>
          <w:rFonts w:ascii="微軟正黑體" w:hAnsi="微軟正黑體"/>
          <w:b/>
          <w:color w:val="2C5282"/>
          <w:lang w:eastAsia="zh-TW"/>
        </w:rPr>
        <w:t>（四）</w:t>
      </w:r>
      <w:r>
        <w:rPr>
          <w:rFonts w:ascii="微軟正黑體" w:hAnsi="微軟正黑體"/>
          <w:b/>
          <w:color w:val="2C5282"/>
          <w:lang w:eastAsia="zh-TW"/>
        </w:rPr>
        <w:t xml:space="preserve"> </w:t>
      </w:r>
      <w:r>
        <w:rPr>
          <w:rFonts w:ascii="微軟正黑體" w:hAnsi="微軟正黑體"/>
          <w:b/>
          <w:color w:val="2C5282"/>
          <w:lang w:eastAsia="zh-TW"/>
        </w:rPr>
        <w:t>排除人口生理混雜因子之陰性檢驗（年齡與性別）</w:t>
      </w:r>
    </w:p>
    <w:p w14:paraId="29E91348" w14:textId="77777777" w:rsidR="001A0CF9" w:rsidRDefault="00000000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為確保結論之無懈可擊，調查組同步檢驗宿主生理特徵與存活</w:t>
      </w:r>
      <w:r>
        <w:rPr>
          <w:lang w:eastAsia="zh-TW"/>
        </w:rPr>
        <w:t>/</w:t>
      </w:r>
      <w:r>
        <w:rPr>
          <w:lang w:eastAsia="zh-TW"/>
        </w:rPr>
        <w:t>死亡之獨立性卡方檢定，證實全無相關性：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1A0CF9" w14:paraId="69B89F3E" w14:textId="77777777">
        <w:trPr>
          <w:jc w:val="center"/>
        </w:trPr>
        <w:tc>
          <w:tcPr>
            <w:tcW w:w="1337" w:type="dxa"/>
            <w:shd w:val="clear" w:color="auto" w:fill="1B36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958B25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b/>
                <w:color w:val="FFFFFF"/>
                <w:sz w:val="19"/>
              </w:rPr>
              <w:t>混雜因子檢驗項目</w:t>
            </w:r>
            <w:proofErr w:type="spellEnd"/>
          </w:p>
        </w:tc>
        <w:tc>
          <w:tcPr>
            <w:tcW w:w="1337" w:type="dxa"/>
            <w:shd w:val="clear" w:color="auto" w:fill="1B36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07EA0D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對照組別</w:t>
            </w:r>
          </w:p>
        </w:tc>
        <w:tc>
          <w:tcPr>
            <w:tcW w:w="1337" w:type="dxa"/>
            <w:shd w:val="clear" w:color="auto" w:fill="1B36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AAC5D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卡方檢定值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 (Chi-Square)</w:t>
            </w:r>
          </w:p>
        </w:tc>
        <w:tc>
          <w:tcPr>
            <w:tcW w:w="1337" w:type="dxa"/>
            <w:shd w:val="clear" w:color="auto" w:fill="1B36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975CAF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自由度</w:t>
            </w:r>
          </w:p>
        </w:tc>
        <w:tc>
          <w:tcPr>
            <w:tcW w:w="1337" w:type="dxa"/>
            <w:shd w:val="clear" w:color="auto" w:fill="1B36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6F9109F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P 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值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 (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雙尾顯著性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>)</w:t>
            </w:r>
          </w:p>
        </w:tc>
        <w:tc>
          <w:tcPr>
            <w:tcW w:w="1337" w:type="dxa"/>
            <w:shd w:val="clear" w:color="auto" w:fill="1B36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FF6CE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勝算比</w:t>
            </w:r>
            <w:r>
              <w:rPr>
                <w:rFonts w:ascii="微軟正黑體" w:hAnsi="微軟正黑體"/>
                <w:b/>
                <w:color w:val="FFFFFF"/>
                <w:sz w:val="19"/>
              </w:rPr>
              <w:t xml:space="preserve"> (OR / 95% CI)</w:t>
            </w:r>
          </w:p>
        </w:tc>
        <w:tc>
          <w:tcPr>
            <w:tcW w:w="1337" w:type="dxa"/>
            <w:shd w:val="clear" w:color="auto" w:fill="1B36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014B75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流行病學結論</w:t>
            </w:r>
          </w:p>
        </w:tc>
      </w:tr>
      <w:tr w:rsidR="001A0CF9" w14:paraId="48B95A6E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C2024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年齡組別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(ageg)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DD9E08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 xml:space="preserve">≤ 40 </w:t>
            </w:r>
            <w:r>
              <w:rPr>
                <w:rFonts w:ascii="微軟正黑體" w:hAnsi="微軟正黑體"/>
                <w:color w:val="2D3748"/>
                <w:sz w:val="19"/>
              </w:rPr>
              <w:t>歲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vs 41+ </w:t>
            </w:r>
            <w:r>
              <w:rPr>
                <w:rFonts w:ascii="微軟正黑體" w:hAnsi="微軟正黑體"/>
                <w:color w:val="2D3748"/>
                <w:sz w:val="19"/>
              </w:rPr>
              <w:t>歲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045CA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χ² = 0.015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662E136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66A217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= 0.903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654583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OR = 1.023 (0.713 ~ 1.466)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28A7C8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無顯著差異，年齡非致病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/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致死因子</w:t>
            </w:r>
          </w:p>
        </w:tc>
      </w:tr>
      <w:tr w:rsidR="001A0CF9" w14:paraId="24E8BFEA" w14:textId="77777777">
        <w:trPr>
          <w:jc w:val="center"/>
        </w:trPr>
        <w:tc>
          <w:tcPr>
            <w:tcW w:w="1337" w:type="dxa"/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9CEFF56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性別分類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(Gender)</w:t>
            </w:r>
          </w:p>
        </w:tc>
        <w:tc>
          <w:tcPr>
            <w:tcW w:w="1337" w:type="dxa"/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2643C2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女性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vs </w:t>
            </w:r>
            <w:r>
              <w:rPr>
                <w:rFonts w:ascii="微軟正黑體" w:hAnsi="微軟正黑體"/>
                <w:color w:val="2D3748"/>
                <w:sz w:val="19"/>
              </w:rPr>
              <w:t>男性</w:t>
            </w:r>
          </w:p>
        </w:tc>
        <w:tc>
          <w:tcPr>
            <w:tcW w:w="1337" w:type="dxa"/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02483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χ² = 0.001</w:t>
            </w:r>
          </w:p>
        </w:tc>
        <w:tc>
          <w:tcPr>
            <w:tcW w:w="1337" w:type="dxa"/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9823B1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w="1337" w:type="dxa"/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9E175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= 0.978</w:t>
            </w:r>
          </w:p>
        </w:tc>
        <w:tc>
          <w:tcPr>
            <w:tcW w:w="1337" w:type="dxa"/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F3315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OR = 0.995 (0.688 ~ 1.439)</w:t>
            </w:r>
          </w:p>
        </w:tc>
        <w:tc>
          <w:tcPr>
            <w:tcW w:w="1337" w:type="dxa"/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B989CF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無顯著差異，性別非致病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/</w:t>
            </w: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致死因子</w:t>
            </w:r>
          </w:p>
        </w:tc>
      </w:tr>
      <w:tr w:rsidR="001A0CF9" w14:paraId="4C906252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173546" w14:textId="77777777" w:rsidR="001A0CF9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性別</w:t>
            </w:r>
            <w:proofErr w:type="spellEnd"/>
            <w:r>
              <w:rPr>
                <w:rFonts w:ascii="微軟正黑體" w:hAnsi="微軟正黑體"/>
                <w:color w:val="2D3748"/>
                <w:sz w:val="19"/>
              </w:rPr>
              <w:t xml:space="preserve"> vs </w:t>
            </w:r>
            <w:proofErr w:type="spellStart"/>
            <w:r>
              <w:rPr>
                <w:rFonts w:ascii="微軟正黑體" w:hAnsi="微軟正黑體"/>
                <w:color w:val="2D3748"/>
                <w:sz w:val="19"/>
              </w:rPr>
              <w:t>疾病嚴重度</w:t>
            </w:r>
            <w:proofErr w:type="spellEnd"/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6379EC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女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vs </w:t>
            </w:r>
            <w:r>
              <w:rPr>
                <w:rFonts w:ascii="微軟正黑體" w:hAnsi="微軟正黑體"/>
                <w:color w:val="2D3748"/>
                <w:sz w:val="19"/>
              </w:rPr>
              <w:t>男</w:t>
            </w:r>
            <w:r>
              <w:rPr>
                <w:rFonts w:ascii="微軟正黑體" w:hAnsi="微軟正黑體"/>
                <w:color w:val="2D3748"/>
                <w:sz w:val="19"/>
              </w:rPr>
              <w:t xml:space="preserve"> (</w:t>
            </w:r>
            <w:r>
              <w:rPr>
                <w:rFonts w:ascii="微軟正黑體" w:hAnsi="微軟正黑體"/>
                <w:color w:val="2D3748"/>
                <w:sz w:val="19"/>
              </w:rPr>
              <w:t>健康</w:t>
            </w:r>
            <w:r>
              <w:rPr>
                <w:rFonts w:ascii="微軟正黑體" w:hAnsi="微軟正黑體"/>
                <w:color w:val="2D3748"/>
                <w:sz w:val="19"/>
              </w:rPr>
              <w:t>/</w:t>
            </w:r>
            <w:r>
              <w:rPr>
                <w:rFonts w:ascii="微軟正黑體" w:hAnsi="微軟正黑體"/>
                <w:color w:val="2D3748"/>
                <w:sz w:val="19"/>
              </w:rPr>
              <w:t>輕</w:t>
            </w:r>
            <w:r>
              <w:rPr>
                <w:rFonts w:ascii="微軟正黑體" w:hAnsi="微軟正黑體"/>
                <w:color w:val="2D3748"/>
                <w:sz w:val="19"/>
              </w:rPr>
              <w:t>/</w:t>
            </w:r>
            <w:r>
              <w:rPr>
                <w:rFonts w:ascii="微軟正黑體" w:hAnsi="微軟正黑體"/>
                <w:color w:val="2D3748"/>
                <w:sz w:val="19"/>
              </w:rPr>
              <w:t>重</w:t>
            </w:r>
            <w:r>
              <w:rPr>
                <w:rFonts w:ascii="微軟正黑體" w:hAnsi="微軟正黑體"/>
                <w:color w:val="2D3748"/>
                <w:sz w:val="19"/>
              </w:rPr>
              <w:t>)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49351E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χ² = 0.089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787865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393AD4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= 0.956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92A9AA" w14:textId="77777777" w:rsidR="001A0CF9" w:rsidRDefault="00000000"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w="1337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839FA5" w14:textId="77777777" w:rsidR="001A0CF9" w:rsidRDefault="00000000">
            <w:pPr>
              <w:spacing w:before="40" w:after="40"/>
              <w:jc w:val="center"/>
              <w:rPr>
                <w:lang w:eastAsia="zh-TW"/>
              </w:rPr>
            </w:pPr>
            <w:r>
              <w:rPr>
                <w:rFonts w:ascii="微軟正黑體" w:hAnsi="微軟正黑體"/>
                <w:color w:val="2D3748"/>
                <w:sz w:val="19"/>
                <w:lang w:eastAsia="zh-TW"/>
              </w:rPr>
              <w:t>男女在病程嚴重度轉化上完全無差異</w:t>
            </w:r>
          </w:p>
        </w:tc>
      </w:tr>
    </w:tbl>
    <w:p w14:paraId="5A18B469" w14:textId="77777777" w:rsidR="001A0CF9" w:rsidRDefault="00000000">
      <w:pPr>
        <w:keepNext/>
        <w:spacing w:before="240" w:after="80" w:line="288" w:lineRule="auto"/>
      </w:pPr>
      <w:r>
        <w:rPr>
          <w:rFonts w:ascii="微軟正黑體" w:hAnsi="微軟正黑體"/>
          <w:b/>
          <w:color w:val="2B4C7E"/>
          <w:sz w:val="26"/>
        </w:rPr>
        <w:t>四、</w:t>
      </w:r>
      <w:r>
        <w:rPr>
          <w:rFonts w:ascii="微軟正黑體" w:hAnsi="微軟正黑體"/>
          <w:b/>
          <w:color w:val="2B4C7E"/>
          <w:sz w:val="26"/>
        </w:rPr>
        <w:t xml:space="preserve"> </w:t>
      </w:r>
      <w:proofErr w:type="spellStart"/>
      <w:r>
        <w:rPr>
          <w:rFonts w:ascii="微軟正黑體" w:hAnsi="微軟正黑體"/>
          <w:b/>
          <w:color w:val="2B4C7E"/>
          <w:sz w:val="26"/>
        </w:rPr>
        <w:t>關鍵異常個案專案鑑識（</w:t>
      </w:r>
      <w:r>
        <w:rPr>
          <w:rFonts w:ascii="微軟正黑體" w:hAnsi="微軟正黑體"/>
          <w:b/>
          <w:color w:val="2B4C7E"/>
          <w:sz w:val="26"/>
        </w:rPr>
        <w:t>Forensic</w:t>
      </w:r>
      <w:proofErr w:type="spellEnd"/>
      <w:r>
        <w:rPr>
          <w:rFonts w:ascii="微軟正黑體" w:hAnsi="微軟正黑體"/>
          <w:b/>
          <w:color w:val="2B4C7E"/>
          <w:sz w:val="26"/>
        </w:rPr>
        <w:t xml:space="preserve"> Case Profiling</w:t>
      </w:r>
      <w:r>
        <w:rPr>
          <w:rFonts w:ascii="微軟正黑體" w:hAnsi="微軟正黑體"/>
          <w:b/>
          <w:color w:val="2B4C7E"/>
          <w:sz w:val="26"/>
        </w:rPr>
        <w:t>）</w:t>
      </w:r>
    </w:p>
    <w:p w14:paraId="00CE0B12" w14:textId="77777777" w:rsidR="001A0CF9" w:rsidRDefault="00000000">
      <w:pPr>
        <w:keepNext/>
        <w:spacing w:before="160" w:after="40" w:line="288" w:lineRule="auto"/>
      </w:pPr>
      <w:r>
        <w:rPr>
          <w:rFonts w:ascii="微軟正黑體" w:hAnsi="微軟正黑體"/>
          <w:b/>
          <w:color w:val="2C5282"/>
        </w:rPr>
        <w:t>（一）</w:t>
      </w:r>
      <w:r>
        <w:rPr>
          <w:rFonts w:ascii="微軟正黑體" w:hAnsi="微軟正黑體"/>
          <w:b/>
          <w:color w:val="2C5282"/>
        </w:rPr>
        <w:t xml:space="preserve"> </w:t>
      </w:r>
      <w:r>
        <w:rPr>
          <w:rFonts w:ascii="微軟正黑體" w:hAnsi="微軟正黑體"/>
          <w:b/>
          <w:color w:val="2C5282"/>
        </w:rPr>
        <w:t>專案卷宗</w:t>
      </w:r>
      <w:r>
        <w:rPr>
          <w:rFonts w:ascii="微軟正黑體" w:hAnsi="微軟正黑體"/>
          <w:b/>
          <w:color w:val="2C5282"/>
        </w:rPr>
        <w:t xml:space="preserve"> #169</w:t>
      </w:r>
      <w:r>
        <w:rPr>
          <w:rFonts w:ascii="微軟正黑體" w:hAnsi="微軟正黑體"/>
          <w:b/>
          <w:color w:val="2C5282"/>
        </w:rPr>
        <w:t>：深水井唯一奇蹟生還者</w:t>
      </w:r>
    </w:p>
    <w:p w14:paraId="7B8B6CBB" w14:textId="77777777" w:rsidR="001A0CF9" w:rsidRDefault="00000000">
      <w:pPr>
        <w:spacing w:before="40" w:after="80" w:line="288" w:lineRule="auto"/>
        <w:rPr>
          <w:lang w:eastAsia="zh-TW"/>
        </w:rPr>
      </w:pPr>
      <w:r>
        <w:t>【個案檔案</w:t>
      </w:r>
      <w:r>
        <w:t xml:space="preserve"> #169</w:t>
      </w:r>
      <w:r>
        <w:t>】：</w:t>
      </w:r>
      <w:r>
        <w:t xml:space="preserve">77 </w:t>
      </w:r>
      <w:r>
        <w:t>歲女性，登記飲用深井水（</w:t>
      </w:r>
      <w:r>
        <w:t>Deep well, Group 2</w:t>
      </w:r>
      <w:r>
        <w:t>），狀態標記為「健康（</w:t>
      </w:r>
      <w:r>
        <w:t>Healthy</w:t>
      </w:r>
      <w:r>
        <w:t>）」且「存活（</w:t>
      </w:r>
      <w:r>
        <w:t>alive</w:t>
      </w:r>
      <w:r>
        <w:t>）」。</w:t>
      </w:r>
      <w:r>
        <w:br/>
      </w:r>
      <w:r>
        <w:rPr>
          <w:lang w:eastAsia="zh-TW"/>
        </w:rPr>
        <w:t>在深井水組</w:t>
      </w:r>
      <w:r>
        <w:rPr>
          <w:lang w:eastAsia="zh-TW"/>
        </w:rPr>
        <w:t xml:space="preserve"> 502 </w:t>
      </w:r>
      <w:r>
        <w:rPr>
          <w:lang w:eastAsia="zh-TW"/>
        </w:rPr>
        <w:t>人中其餘</w:t>
      </w:r>
      <w:r>
        <w:rPr>
          <w:lang w:eastAsia="zh-TW"/>
        </w:rPr>
        <w:t xml:space="preserve"> 501 </w:t>
      </w:r>
      <w:r>
        <w:rPr>
          <w:lang w:eastAsia="zh-TW"/>
        </w:rPr>
        <w:t>人全數罹病喪命（致死率</w:t>
      </w:r>
      <w:r>
        <w:rPr>
          <w:lang w:eastAsia="zh-TW"/>
        </w:rPr>
        <w:t xml:space="preserve"> 99.8%</w:t>
      </w:r>
      <w:r>
        <w:rPr>
          <w:lang w:eastAsia="zh-TW"/>
        </w:rPr>
        <w:t>）之絕境下，此個案為唯一破局點。</w:t>
      </w:r>
      <w:r>
        <w:rPr>
          <w:lang w:eastAsia="zh-TW"/>
        </w:rPr>
        <w:br/>
      </w:r>
      <w:r>
        <w:rPr>
          <w:lang w:eastAsia="zh-TW"/>
        </w:rPr>
        <w:t>鑑識研判假說：</w:t>
      </w:r>
      <w:r>
        <w:rPr>
          <w:lang w:eastAsia="zh-TW"/>
        </w:rPr>
        <w:br/>
        <w:t xml:space="preserve">1. </w:t>
      </w:r>
      <w:r>
        <w:rPr>
          <w:lang w:eastAsia="zh-TW"/>
        </w:rPr>
        <w:t>行為防護屏障：該高齡長者可能日常極度嚴格執行「長時間高溫煮沸」、「加裝高階逆滲透（</w:t>
      </w:r>
      <w:r>
        <w:rPr>
          <w:lang w:eastAsia="zh-TW"/>
        </w:rPr>
        <w:t>RO</w:t>
      </w:r>
      <w:r>
        <w:rPr>
          <w:lang w:eastAsia="zh-TW"/>
        </w:rPr>
        <w:t>）淨水設備」，或深井水僅用於拖地洗衣，實際飲用雨水或外界包裝水。</w:t>
      </w:r>
      <w:r>
        <w:rPr>
          <w:lang w:eastAsia="zh-TW"/>
        </w:rPr>
        <w:br/>
        <w:t xml:space="preserve">2. </w:t>
      </w:r>
      <w:r>
        <w:rPr>
          <w:lang w:eastAsia="zh-TW"/>
        </w:rPr>
        <w:t>生物基因耐受：若致病源為特定重金屬（如高價砷）或生化毒素，該個體可能具備罕見的解毒酵素基因多態性（如高活性金屬硫蛋白</w:t>
      </w:r>
      <w:r>
        <w:rPr>
          <w:lang w:eastAsia="zh-TW"/>
        </w:rPr>
        <w:t xml:space="preserve"> GST</w:t>
      </w:r>
      <w:r>
        <w:rPr>
          <w:lang w:eastAsia="zh-TW"/>
        </w:rPr>
        <w:t>），使其免於中毒。</w:t>
      </w:r>
    </w:p>
    <w:p w14:paraId="2ED72ECF" w14:textId="77777777" w:rsidR="001A0CF9" w:rsidRDefault="00000000">
      <w:pPr>
        <w:keepNext/>
        <w:spacing w:before="160" w:after="40" w:line="288" w:lineRule="auto"/>
        <w:rPr>
          <w:lang w:eastAsia="zh-TW"/>
        </w:rPr>
      </w:pPr>
      <w:r>
        <w:rPr>
          <w:rFonts w:ascii="微軟正黑體" w:hAnsi="微軟正黑體"/>
          <w:b/>
          <w:color w:val="2C5282"/>
          <w:lang w:eastAsia="zh-TW"/>
        </w:rPr>
        <w:lastRenderedPageBreak/>
        <w:t>（二）</w:t>
      </w:r>
      <w:r>
        <w:rPr>
          <w:rFonts w:ascii="微軟正黑體" w:hAnsi="微軟正黑體"/>
          <w:b/>
          <w:color w:val="2C5282"/>
          <w:lang w:eastAsia="zh-TW"/>
        </w:rPr>
        <w:t xml:space="preserve"> </w:t>
      </w:r>
      <w:r>
        <w:rPr>
          <w:rFonts w:ascii="微軟正黑體" w:hAnsi="微軟正黑體"/>
          <w:b/>
          <w:color w:val="2C5282"/>
          <w:lang w:eastAsia="zh-TW"/>
        </w:rPr>
        <w:t>專案卷宗</w:t>
      </w:r>
      <w:r>
        <w:rPr>
          <w:rFonts w:ascii="微軟正黑體" w:hAnsi="微軟正黑體"/>
          <w:b/>
          <w:color w:val="2C5282"/>
          <w:lang w:eastAsia="zh-TW"/>
        </w:rPr>
        <w:t xml:space="preserve"> #155 </w:t>
      </w:r>
      <w:r>
        <w:rPr>
          <w:rFonts w:ascii="微軟正黑體" w:hAnsi="微軟正黑體"/>
          <w:b/>
          <w:color w:val="2C5282"/>
          <w:lang w:eastAsia="zh-TW"/>
        </w:rPr>
        <w:t>～</w:t>
      </w:r>
      <w:r>
        <w:rPr>
          <w:rFonts w:ascii="微軟正黑體" w:hAnsi="微軟正黑體"/>
          <w:b/>
          <w:color w:val="2C5282"/>
          <w:lang w:eastAsia="zh-TW"/>
        </w:rPr>
        <w:t xml:space="preserve"> #168</w:t>
      </w:r>
      <w:r>
        <w:rPr>
          <w:rFonts w:ascii="微軟正黑體" w:hAnsi="微軟正黑體"/>
          <w:b/>
          <w:color w:val="2C5282"/>
          <w:lang w:eastAsia="zh-TW"/>
        </w:rPr>
        <w:t>：淺水井</w:t>
      </w:r>
      <w:r>
        <w:rPr>
          <w:rFonts w:ascii="微軟正黑體" w:hAnsi="微軟正黑體"/>
          <w:b/>
          <w:color w:val="2C5282"/>
          <w:lang w:eastAsia="zh-TW"/>
        </w:rPr>
        <w:t xml:space="preserve"> 14 </w:t>
      </w:r>
      <w:r>
        <w:rPr>
          <w:rFonts w:ascii="微軟正黑體" w:hAnsi="微軟正黑體"/>
          <w:b/>
          <w:color w:val="2C5282"/>
          <w:lang w:eastAsia="zh-TW"/>
        </w:rPr>
        <w:t>例突破性感染致死個案</w:t>
      </w:r>
    </w:p>
    <w:p w14:paraId="102B7738" w14:textId="77777777" w:rsidR="001A0CF9" w:rsidRDefault="00000000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【個案檔案</w:t>
      </w:r>
      <w:r>
        <w:rPr>
          <w:lang w:eastAsia="zh-TW"/>
        </w:rPr>
        <w:t xml:space="preserve"> #155</w:t>
      </w:r>
      <w:r>
        <w:rPr>
          <w:lang w:eastAsia="zh-TW"/>
        </w:rPr>
        <w:t>～</w:t>
      </w:r>
      <w:r>
        <w:rPr>
          <w:lang w:eastAsia="zh-TW"/>
        </w:rPr>
        <w:t>#168</w:t>
      </w:r>
      <w:r>
        <w:rPr>
          <w:lang w:eastAsia="zh-TW"/>
        </w:rPr>
        <w:t>】：淺水井組雖有</w:t>
      </w:r>
      <w:r>
        <w:rPr>
          <w:lang w:eastAsia="zh-TW"/>
        </w:rPr>
        <w:t xml:space="preserve"> 87.8% </w:t>
      </w:r>
      <w:r>
        <w:rPr>
          <w:lang w:eastAsia="zh-TW"/>
        </w:rPr>
        <w:t>住民維持健康存活，但此</w:t>
      </w:r>
      <w:r>
        <w:rPr>
          <w:lang w:eastAsia="zh-TW"/>
        </w:rPr>
        <w:t xml:space="preserve"> 14 </w:t>
      </w:r>
      <w:r>
        <w:rPr>
          <w:lang w:eastAsia="zh-TW"/>
        </w:rPr>
        <w:t>名居民（年齡</w:t>
      </w:r>
      <w:r>
        <w:rPr>
          <w:lang w:eastAsia="zh-TW"/>
        </w:rPr>
        <w:t xml:space="preserve"> 16</w:t>
      </w:r>
      <w:r>
        <w:rPr>
          <w:lang w:eastAsia="zh-TW"/>
        </w:rPr>
        <w:t>～</w:t>
      </w:r>
      <w:r>
        <w:rPr>
          <w:lang w:eastAsia="zh-TW"/>
        </w:rPr>
        <w:t xml:space="preserve">77 </w:t>
      </w:r>
      <w:r>
        <w:rPr>
          <w:lang w:eastAsia="zh-TW"/>
        </w:rPr>
        <w:t>歲，男</w:t>
      </w:r>
      <w:r>
        <w:rPr>
          <w:lang w:eastAsia="zh-TW"/>
        </w:rPr>
        <w:t xml:space="preserve"> 5 </w:t>
      </w:r>
      <w:r>
        <w:rPr>
          <w:lang w:eastAsia="zh-TW"/>
        </w:rPr>
        <w:t>女</w:t>
      </w:r>
      <w:r>
        <w:rPr>
          <w:lang w:eastAsia="zh-TW"/>
        </w:rPr>
        <w:t xml:space="preserve"> 9</w:t>
      </w:r>
      <w:r>
        <w:rPr>
          <w:lang w:eastAsia="zh-TW"/>
        </w:rPr>
        <w:t>）不幸罹患輕症並全數死亡。</w:t>
      </w:r>
      <w:r>
        <w:rPr>
          <w:lang w:eastAsia="zh-TW"/>
        </w:rPr>
        <w:br/>
      </w:r>
      <w:r>
        <w:rPr>
          <w:lang w:eastAsia="zh-TW"/>
        </w:rPr>
        <w:t>鑑識研判：橘郡深層承壓水與淺層潛水層之間的地質隔水層（</w:t>
      </w:r>
      <w:r>
        <w:rPr>
          <w:lang w:eastAsia="zh-TW"/>
        </w:rPr>
        <w:t>Aquitard</w:t>
      </w:r>
      <w:r>
        <w:rPr>
          <w:lang w:eastAsia="zh-TW"/>
        </w:rPr>
        <w:t>）已出現構造斷裂或過度抽水造成的降落漏斗，導致深層高毒性水體向上發生裂隙滲透。若放任不管，淺水井將隨時間推移全數淪陷。</w:t>
      </w:r>
    </w:p>
    <w:p w14:paraId="6E8965C6" w14:textId="77777777" w:rsidR="001A0CF9" w:rsidRDefault="00000000">
      <w:pPr>
        <w:keepNext/>
        <w:spacing w:before="240" w:after="80" w:line="288" w:lineRule="auto"/>
        <w:rPr>
          <w:lang w:eastAsia="zh-TW"/>
        </w:rPr>
      </w:pPr>
      <w:r>
        <w:rPr>
          <w:rFonts w:ascii="微軟正黑體" w:hAnsi="微軟正黑體"/>
          <w:b/>
          <w:color w:val="2B4C7E"/>
          <w:sz w:val="26"/>
          <w:lang w:eastAsia="zh-TW"/>
        </w:rPr>
        <w:t>五、</w:t>
      </w:r>
      <w:r>
        <w:rPr>
          <w:rFonts w:ascii="微軟正黑體" w:hAnsi="微軟正黑體"/>
          <w:b/>
          <w:color w:val="2B4C7E"/>
          <w:sz w:val="26"/>
          <w:lang w:eastAsia="zh-TW"/>
        </w:rPr>
        <w:t xml:space="preserve"> </w:t>
      </w:r>
      <w:r>
        <w:rPr>
          <w:rFonts w:ascii="微軟正黑體" w:hAnsi="微軟正黑體"/>
          <w:b/>
          <w:color w:val="2B4C7E"/>
          <w:sz w:val="26"/>
          <w:lang w:eastAsia="zh-TW"/>
        </w:rPr>
        <w:t>橘郡特種公衛防禦緊急作戰指令</w:t>
      </w:r>
    </w:p>
    <w:p w14:paraId="2812533E" w14:textId="77777777" w:rsidR="001A0CF9" w:rsidRDefault="00000000">
      <w:pPr>
        <w:spacing w:before="40" w:after="80" w:line="288" w:lineRule="auto"/>
        <w:rPr>
          <w:lang w:eastAsia="zh-TW"/>
        </w:rPr>
      </w:pPr>
      <w:r>
        <w:rPr>
          <w:lang w:eastAsia="zh-TW"/>
        </w:rPr>
        <w:t>基於上述無懈可擊之生物統計檢定與風險比數據，特派調查組向橘郡防衛指揮中心下達以下緊急行政處置命令：</w:t>
      </w:r>
      <w:r>
        <w:rPr>
          <w:lang w:eastAsia="zh-TW"/>
        </w:rPr>
        <w:br/>
        <w:t xml:space="preserve">1. </w:t>
      </w:r>
      <w:r>
        <w:rPr>
          <w:lang w:eastAsia="zh-TW"/>
        </w:rPr>
        <w:t>【全面強制封井】：即刻動員防衛警力，對橘郡境內全部深水井實施機械查封與強制斷電斷水，嚴懲任何非法取水行為。</w:t>
      </w:r>
      <w:r>
        <w:rPr>
          <w:lang w:eastAsia="zh-TW"/>
        </w:rPr>
        <w:br/>
        <w:t xml:space="preserve">2. </w:t>
      </w:r>
      <w:r>
        <w:rPr>
          <w:lang w:eastAsia="zh-TW"/>
        </w:rPr>
        <w:t>【生命之水補給線】：市政自來水車全面進駐深井聚落，設立</w:t>
      </w:r>
      <w:r>
        <w:rPr>
          <w:lang w:eastAsia="zh-TW"/>
        </w:rPr>
        <w:t xml:space="preserve"> 24 </w:t>
      </w:r>
      <w:r>
        <w:rPr>
          <w:lang w:eastAsia="zh-TW"/>
        </w:rPr>
        <w:t>小時安全供水點，確保剩餘健康居民免遭毒害。</w:t>
      </w:r>
      <w:r>
        <w:rPr>
          <w:lang w:eastAsia="zh-TW"/>
        </w:rPr>
        <w:br/>
        <w:t xml:space="preserve">3. </w:t>
      </w:r>
      <w:r>
        <w:rPr>
          <w:lang w:eastAsia="zh-TW"/>
        </w:rPr>
        <w:t>【專案保護與生化採樣】：將第</w:t>
      </w:r>
      <w:r>
        <w:rPr>
          <w:lang w:eastAsia="zh-TW"/>
        </w:rPr>
        <w:t xml:space="preserve"> 169 </w:t>
      </w:r>
      <w:r>
        <w:rPr>
          <w:lang w:eastAsia="zh-TW"/>
        </w:rPr>
        <w:t>號長者納入</w:t>
      </w:r>
      <w:r>
        <w:rPr>
          <w:lang w:eastAsia="zh-TW"/>
        </w:rPr>
        <w:t xml:space="preserve"> 24 </w:t>
      </w:r>
      <w:r>
        <w:rPr>
          <w:lang w:eastAsia="zh-TW"/>
        </w:rPr>
        <w:t>小時特級安保，採集其血清進行中和抗體與毒物標記分析。</w:t>
      </w:r>
      <w:r>
        <w:rPr>
          <w:lang w:eastAsia="zh-TW"/>
        </w:rPr>
        <w:br/>
        <w:t xml:space="preserve">4. </w:t>
      </w:r>
      <w:r>
        <w:rPr>
          <w:lang w:eastAsia="zh-TW"/>
        </w:rPr>
        <w:t>【高階化驗分析】：採集深井底泥與水樣，以氣相層析質譜（</w:t>
      </w:r>
      <w:r>
        <w:rPr>
          <w:lang w:eastAsia="zh-TW"/>
        </w:rPr>
        <w:t>GC-MS</w:t>
      </w:r>
      <w:r>
        <w:rPr>
          <w:lang w:eastAsia="zh-TW"/>
        </w:rPr>
        <w:t>）及</w:t>
      </w:r>
      <w:r>
        <w:rPr>
          <w:lang w:eastAsia="zh-TW"/>
        </w:rPr>
        <w:t xml:space="preserve"> ICP-MS </w:t>
      </w:r>
      <w:r>
        <w:rPr>
          <w:lang w:eastAsia="zh-TW"/>
        </w:rPr>
        <w:t>進行全光譜金屬與有機毒素掃描。</w:t>
      </w:r>
      <w:r>
        <w:rPr>
          <w:lang w:eastAsia="zh-TW"/>
        </w:rPr>
        <w:br/>
        <w:t xml:space="preserve">5. </w:t>
      </w:r>
      <w:r>
        <w:rPr>
          <w:lang w:eastAsia="zh-TW"/>
        </w:rPr>
        <w:t>【地質水文防滲】：於深層含水層周邊構築水力阻隔帷幕，全面阻止毒素向市政自來水水源地蔓延。</w:t>
      </w:r>
    </w:p>
    <w:p w14:paraId="6210442B" w14:textId="77777777" w:rsidR="001A0CF9" w:rsidRDefault="00000000">
      <w:pPr>
        <w:spacing w:before="320" w:after="80" w:line="288" w:lineRule="auto"/>
        <w:jc w:val="right"/>
      </w:pPr>
      <w:proofErr w:type="spellStart"/>
      <w:proofErr w:type="gramStart"/>
      <w:r>
        <w:rPr>
          <w:rFonts w:ascii="微軟正黑體" w:hAnsi="微軟正黑體"/>
          <w:b/>
          <w:color w:val="4A5568"/>
          <w:sz w:val="20"/>
        </w:rPr>
        <w:t>橘郡特派異常事件首席調查員</w:t>
      </w:r>
      <w:proofErr w:type="spellEnd"/>
      <w:r>
        <w:rPr>
          <w:rFonts w:ascii="微軟正黑體" w:hAnsi="微軟正黑體"/>
          <w:b/>
          <w:color w:val="4A5568"/>
          <w:sz w:val="20"/>
        </w:rPr>
        <w:t xml:space="preserve">  </w:t>
      </w:r>
      <w:proofErr w:type="spellStart"/>
      <w:r>
        <w:rPr>
          <w:rFonts w:ascii="微軟正黑體" w:hAnsi="微軟正黑體"/>
          <w:b/>
          <w:color w:val="4A5568"/>
          <w:sz w:val="20"/>
        </w:rPr>
        <w:t>謹呈</w:t>
      </w:r>
      <w:proofErr w:type="spellEnd"/>
      <w:proofErr w:type="gramEnd"/>
      <w:r>
        <w:rPr>
          <w:rFonts w:ascii="微軟正黑體" w:hAnsi="微軟正黑體"/>
          <w:b/>
          <w:color w:val="4A5568"/>
          <w:sz w:val="20"/>
        </w:rPr>
        <w:br/>
      </w:r>
      <w:r>
        <w:rPr>
          <w:rFonts w:ascii="微軟正黑體" w:hAnsi="微軟正黑體"/>
          <w:b/>
          <w:color w:val="4A5568"/>
          <w:sz w:val="20"/>
        </w:rPr>
        <w:t>公文檔案編號：</w:t>
      </w:r>
      <w:r>
        <w:rPr>
          <w:rFonts w:ascii="微軟正黑體" w:hAnsi="微軟正黑體"/>
          <w:b/>
          <w:color w:val="4A5568"/>
          <w:sz w:val="20"/>
        </w:rPr>
        <w:t>DOC-20261023-OC-FINAL-</w:t>
      </w:r>
      <w:proofErr w:type="gramStart"/>
      <w:r>
        <w:rPr>
          <w:rFonts w:ascii="微軟正黑體" w:hAnsi="微軟正黑體"/>
          <w:b/>
          <w:color w:val="4A5568"/>
          <w:sz w:val="20"/>
        </w:rPr>
        <w:t>SECOND-EDITION</w:t>
      </w:r>
      <w:proofErr w:type="gramEnd"/>
    </w:p>
    <w:sectPr w:rsidR="001A0CF9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728590" w14:textId="77777777" w:rsidR="000071A1" w:rsidRDefault="000071A1">
      <w:pPr>
        <w:spacing w:after="0" w:line="240" w:lineRule="auto"/>
      </w:pPr>
      <w:r>
        <w:separator/>
      </w:r>
    </w:p>
  </w:endnote>
  <w:endnote w:type="continuationSeparator" w:id="0">
    <w:p w14:paraId="39A76304" w14:textId="77777777" w:rsidR="000071A1" w:rsidRDefault="00007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55BD33" w14:textId="77777777" w:rsidR="001A0CF9" w:rsidRDefault="00000000">
    <w:pPr>
      <w:pStyle w:val="a7"/>
      <w:jc w:val="center"/>
      <w:rPr>
        <w:lang w:eastAsia="zh-TW"/>
      </w:rPr>
    </w:pPr>
    <w:r>
      <w:rPr>
        <w:rFonts w:ascii="微軟正黑體" w:hAnsi="微軟正黑體"/>
        <w:color w:val="8C96A5"/>
        <w:sz w:val="17"/>
        <w:lang w:eastAsia="zh-TW"/>
      </w:rPr>
      <w:t xml:space="preserve">— </w:t>
    </w:r>
    <w:r>
      <w:rPr>
        <w:rFonts w:ascii="微軟正黑體" w:hAnsi="微軟正黑體"/>
        <w:color w:val="8C96A5"/>
        <w:sz w:val="17"/>
        <w:lang w:eastAsia="zh-TW"/>
      </w:rPr>
      <w:t>橘郡異常事件專案特派調查組</w:t>
    </w:r>
    <w:r>
      <w:rPr>
        <w:rFonts w:ascii="微軟正黑體" w:hAnsi="微軟正黑體"/>
        <w:color w:val="8C96A5"/>
        <w:sz w:val="17"/>
      </w:rPr>
      <w:t>・</w:t>
    </w:r>
    <w:r>
      <w:rPr>
        <w:rFonts w:ascii="微軟正黑體" w:hAnsi="微軟正黑體"/>
        <w:color w:val="8C96A5"/>
        <w:sz w:val="17"/>
        <w:lang w:eastAsia="zh-TW"/>
      </w:rPr>
      <w:t>公務機密</w:t>
    </w:r>
    <w:r>
      <w:rPr>
        <w:rFonts w:ascii="微軟正黑體" w:hAnsi="微軟正黑體"/>
        <w:color w:val="8C96A5"/>
        <w:sz w:val="17"/>
        <w:lang w:eastAsia="zh-TW"/>
      </w:rPr>
      <w:t xml:space="preserve"> </w:t>
    </w:r>
    <w:r>
      <w:rPr>
        <w:rFonts w:ascii="微軟正黑體" w:hAnsi="微軟正黑體"/>
        <w:color w:val="8C96A5"/>
        <w:sz w:val="17"/>
        <w:lang w:eastAsia="zh-TW"/>
      </w:rPr>
      <w:t>嚴禁翻印外洩</w:t>
    </w:r>
    <w:r>
      <w:rPr>
        <w:rFonts w:ascii="微軟正黑體" w:hAnsi="微軟正黑體"/>
        <w:color w:val="8C96A5"/>
        <w:sz w:val="17"/>
        <w:lang w:eastAsia="zh-TW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3D3985" w14:textId="77777777" w:rsidR="000071A1" w:rsidRDefault="000071A1">
      <w:pPr>
        <w:spacing w:after="0" w:line="240" w:lineRule="auto"/>
      </w:pPr>
      <w:r>
        <w:separator/>
      </w:r>
    </w:p>
  </w:footnote>
  <w:footnote w:type="continuationSeparator" w:id="0">
    <w:p w14:paraId="5C127B6B" w14:textId="77777777" w:rsidR="000071A1" w:rsidRDefault="00007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21A65" w14:textId="77777777" w:rsidR="001A0CF9" w:rsidRDefault="00000000">
    <w:pPr>
      <w:pStyle w:val="a5"/>
      <w:jc w:val="right"/>
      <w:rPr>
        <w:lang w:eastAsia="zh-TW"/>
      </w:rPr>
    </w:pPr>
    <w:r>
      <w:rPr>
        <w:rFonts w:ascii="微軟正黑體" w:hAnsi="微軟正黑體"/>
        <w:color w:val="8C96A5"/>
        <w:sz w:val="17"/>
        <w:lang w:eastAsia="zh-TW"/>
      </w:rPr>
      <w:t>【特種公衛防衛署</w:t>
    </w:r>
    <w:r>
      <w:rPr>
        <w:rFonts w:ascii="微軟正黑體" w:hAnsi="微軟正黑體"/>
        <w:color w:val="8C96A5"/>
        <w:sz w:val="17"/>
      </w:rPr>
      <w:t>・</w:t>
    </w:r>
    <w:r>
      <w:rPr>
        <w:rFonts w:ascii="微軟正黑體" w:hAnsi="微軟正黑體"/>
        <w:color w:val="8C96A5"/>
        <w:sz w:val="17"/>
        <w:lang w:eastAsia="zh-TW"/>
      </w:rPr>
      <w:t>機密卷宗】</w:t>
    </w:r>
    <w:r>
      <w:rPr>
        <w:rFonts w:ascii="微軟正黑體" w:hAnsi="微軟正黑體"/>
        <w:color w:val="8C96A5"/>
        <w:sz w:val="17"/>
        <w:lang w:eastAsia="zh-TW"/>
      </w:rPr>
      <w:t xml:space="preserve"> </w:t>
    </w:r>
    <w:r>
      <w:rPr>
        <w:rFonts w:ascii="微軟正黑體" w:hAnsi="微軟正黑體"/>
        <w:color w:val="8C96A5"/>
        <w:sz w:val="17"/>
        <w:lang w:eastAsia="zh-TW"/>
      </w:rPr>
      <w:t>橘郡異常事件綜合調查報告（二期終審版）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994778">
    <w:abstractNumId w:val="8"/>
  </w:num>
  <w:num w:numId="2" w16cid:durableId="1501773876">
    <w:abstractNumId w:val="6"/>
  </w:num>
  <w:num w:numId="3" w16cid:durableId="1665818138">
    <w:abstractNumId w:val="5"/>
  </w:num>
  <w:num w:numId="4" w16cid:durableId="6635901">
    <w:abstractNumId w:val="4"/>
  </w:num>
  <w:num w:numId="5" w16cid:durableId="2141604291">
    <w:abstractNumId w:val="7"/>
  </w:num>
  <w:num w:numId="6" w16cid:durableId="1182627460">
    <w:abstractNumId w:val="3"/>
  </w:num>
  <w:num w:numId="7" w16cid:durableId="37440104">
    <w:abstractNumId w:val="2"/>
  </w:num>
  <w:num w:numId="8" w16cid:durableId="524946297">
    <w:abstractNumId w:val="1"/>
  </w:num>
  <w:num w:numId="9" w16cid:durableId="520318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A1"/>
    <w:rsid w:val="00034616"/>
    <w:rsid w:val="0006063C"/>
    <w:rsid w:val="0015074B"/>
    <w:rsid w:val="001A0CF9"/>
    <w:rsid w:val="0029639D"/>
    <w:rsid w:val="00326F90"/>
    <w:rsid w:val="00680737"/>
    <w:rsid w:val="00921D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E25D1"/>
  <w14:defaultImageDpi w14:val="300"/>
  <w15:docId w15:val="{9C16DA1A-D085-FF44-B2EB-0013A843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黃慈勻</cp:lastModifiedBy>
  <cp:revision>2</cp:revision>
  <cp:lastPrinted>2026-10-25T08:06:00Z</cp:lastPrinted>
  <dcterms:created xsi:type="dcterms:W3CDTF">2013-12-23T23:15:00Z</dcterms:created>
  <dcterms:modified xsi:type="dcterms:W3CDTF">2026-10-27T11:40:00Z</dcterms:modified>
  <cp:category/>
</cp:coreProperties>
</file>