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rFonts w:ascii="Calibri" w:cs="Calibri" w:eastAsia="Calibri" w:hAnsi="Calibri"/>
          <w:b/>
          <w:bCs/>
          <w:color w:val="6D28D9"/>
          <w:sz w:val="96"/>
          <w:szCs w:val="96"/>
        </w:rPr>
        <w:t xml:space="preserve">ResearchMind</w:t>
      </w:r>
    </w:p>
    <w:p>
      <w:pPr>
        <w:spacing w:after="60"/>
        <w:jc w:val="center"/>
      </w:pPr>
      <w:r>
        <w:rPr>
          <w:rFonts w:ascii="Calibri" w:cs="Calibri" w:eastAsia="Calibri" w:hAnsi="Calibri"/>
          <w:color w:val="06B6D4"/>
          <w:sz w:val="36"/>
          <w:szCs w:val="36"/>
        </w:rPr>
        <w:t xml:space="preserve">AI Research Intelligence Platform</w:t>
      </w:r>
    </w:p>
    <w:p>
      <w:pPr>
        <w:spacing w:after="480"/>
        <w:jc w:val="center"/>
      </w:pPr>
      <w:r>
        <w:rPr>
          <w:rFonts w:ascii="Calibri" w:cs="Calibri" w:eastAsia="Calibri" w:hAnsi="Calibri"/>
          <w:color w:val="94A3B8"/>
          <w:sz w:val="26"/>
          <w:szCs w:val="26"/>
        </w:rPr>
        <w:t xml:space="preserve">"Where knowledge connects."</w:t>
      </w:r>
    </w:p>
    <w:p>
      <w:pPr>
        <w:pBdr>
          <w:bottom w:val="single" w:color="8B5CF6" w:sz="6" w:space="1"/>
        </w:pBdr>
        <w:spacing w:after="160" w:before="160"/>
      </w:pPr>
      <w:r>
        <w:t xml:space="preserve"/>
      </w:r>
    </w:p>
    <w:p>
      <w:pPr>
        <w:spacing w:after="60" w:before="240"/>
        <w:jc w:val="center"/>
      </w:pPr>
      <w:r>
        <w:rPr>
          <w:rFonts w:ascii="Calibri" w:cs="Calibri" w:eastAsia="Calibri" w:hAnsi="Calibri"/>
          <w:b/>
          <w:bCs/>
          <w:color w:val="0F172A"/>
          <w:sz w:val="30"/>
          <w:szCs w:val="30"/>
        </w:rPr>
        <w:t xml:space="preserve">Business Foundation Document</w:t>
      </w:r>
    </w:p>
    <w:p>
      <w:pPr>
        <w:spacing w:after="60"/>
        <w:jc w:val="center"/>
      </w:pPr>
      <w:r>
        <w:rPr>
          <w:rFonts w:ascii="Calibri" w:cs="Calibri" w:eastAsia="Calibri" w:hAnsi="Calibri"/>
          <w:color w:val="334155"/>
          <w:sz w:val="22"/>
          <w:szCs w:val="22"/>
        </w:rPr>
        <w:t xml:space="preserve">MPA 2026 · Master în Administrarea Proiectelor</w:t>
      </w:r>
    </w:p>
    <w:p>
      <w:pPr>
        <w:spacing w:after="60"/>
        <w:jc w:val="center"/>
      </w:pPr>
      <w:r>
        <w:rPr>
          <w:rFonts w:ascii="Calibri" w:cs="Calibri" w:eastAsia="Calibri" w:hAnsi="Calibri"/>
          <w:color w:val="334155"/>
          <w:sz w:val="22"/>
          <w:szCs w:val="22"/>
        </w:rPr>
        <w:t xml:space="preserve">Universitatea din București · Facultatea de Matematică și Informatică</w:t>
      </w:r>
    </w:p>
    <w:p>
      <w:pPr>
        <w:spacing w:after="240"/>
        <w:jc w:val="center"/>
      </w:pPr>
      <w:r>
        <w:rPr>
          <w:rFonts w:ascii="Calibri" w:cs="Calibri" w:eastAsia="Calibri" w:hAnsi="Calibri"/>
          <w:color w:val="94A3B8"/>
          <w:sz w:val="22"/>
          <w:szCs w:val="22"/>
        </w:rPr>
        <w:t xml:space="preserve">May 2026</w:t>
      </w:r>
    </w:p>
    <w:p>
      <w:pPr>
        <w:pBdr>
          <w:bottom w:val="single" w:color="8B5CF6" w:sz="6" w:space="1"/>
        </w:pBdr>
        <w:spacing w:after="160" w:before="160"/>
      </w:pPr>
      <w:r>
        <w:t xml:space="preserve"/>
      </w:r>
    </w:p>
    <w:p>
      <w:pPr>
        <w:spacing w:after="60" w:before="240"/>
        <w:jc w:val="center"/>
      </w:pPr>
      <w:r>
        <w:rPr>
          <w:rFonts w:ascii="Calibri" w:cs="Calibri" w:eastAsia="Calibri" w:hAnsi="Calibri"/>
          <w:b/>
          <w:bCs/>
          <w:color w:val="0F172A"/>
          <w:sz w:val="22"/>
          <w:szCs w:val="22"/>
        </w:rPr>
        <w:t xml:space="preserve">Team Members</w:t>
      </w:r>
    </w:p>
    <w:p>
      <w:pPr>
        <w:spacing w:after="40"/>
        <w:jc w:val="center"/>
      </w:pPr>
      <w:r>
        <w:rPr>
          <w:rFonts w:ascii="Calibri" w:cs="Calibri" w:eastAsia="Calibri" w:hAnsi="Calibri"/>
          <w:b/>
          <w:bCs/>
          <w:color w:val="6D28D9"/>
          <w:sz w:val="22"/>
          <w:szCs w:val="22"/>
        </w:rPr>
        <w:t xml:space="preserve">Teodor Mihailescu</w:t>
      </w:r>
      <w:r>
        <w:rPr>
          <w:rFonts w:ascii="Calibri" w:cs="Calibri" w:eastAsia="Calibri" w:hAnsi="Calibri"/>
          <w:color w:val="94A3B8"/>
          <w:sz w:val="22"/>
          <w:szCs w:val="22"/>
        </w:rPr>
        <w:t xml:space="preserve">  ·  Full-Stack Developer &amp; AI Engineer</w:t>
      </w:r>
    </w:p>
    <w:p>
      <w:pPr>
        <w:spacing w:after="40"/>
        <w:jc w:val="center"/>
      </w:pPr>
      <w:r>
        <w:rPr>
          <w:rFonts w:ascii="Calibri" w:cs="Calibri" w:eastAsia="Calibri" w:hAnsi="Calibri"/>
          <w:b/>
          <w:bCs/>
          <w:color w:val="6D28D9"/>
          <w:sz w:val="22"/>
          <w:szCs w:val="22"/>
        </w:rPr>
        <w:t xml:space="preserve">Anastasia Sandu</w:t>
      </w:r>
      <w:r>
        <w:rPr>
          <w:rFonts w:ascii="Calibri" w:cs="Calibri" w:eastAsia="Calibri" w:hAnsi="Calibri"/>
          <w:color w:val="94A3B8"/>
          <w:sz w:val="22"/>
          <w:szCs w:val="22"/>
        </w:rPr>
        <w:t xml:space="preserve">  ·  Frontend Developer &amp; UX Designer</w:t>
      </w:r>
    </w:p>
    <w:p>
      <w:pPr>
        <w:spacing w:after="40"/>
        <w:jc w:val="center"/>
      </w:pPr>
      <w:r>
        <w:rPr>
          <w:rFonts w:ascii="Calibri" w:cs="Calibri" w:eastAsia="Calibri" w:hAnsi="Calibri"/>
          <w:b/>
          <w:bCs/>
          <w:color w:val="6D28D9"/>
          <w:sz w:val="22"/>
          <w:szCs w:val="22"/>
        </w:rPr>
        <w:t xml:space="preserve">Selena Hurloi</w:t>
      </w:r>
      <w:r>
        <w:rPr>
          <w:rFonts w:ascii="Calibri" w:cs="Calibri" w:eastAsia="Calibri" w:hAnsi="Calibri"/>
          <w:color w:val="94A3B8"/>
          <w:sz w:val="22"/>
          <w:szCs w:val="22"/>
        </w:rPr>
        <w:t xml:space="preserve">  ·  Product Manager &amp; Business Analyst</w:t>
      </w:r>
    </w:p>
    <w:p>
      <w:r>
        <w:br w:type="page"/>
      </w:r>
    </w:p>
    <w:p>
      <w:pPr>
        <w:pStyle w:val="Heading1"/>
        <w:spacing w:after="160" w:before="440"/>
      </w:pPr>
      <w:r>
        <w:rPr>
          <w:rFonts w:ascii="Calibri" w:cs="Calibri" w:eastAsia="Calibri" w:hAnsi="Calibri"/>
          <w:b/>
          <w:bCs/>
          <w:color w:val="0F172A"/>
          <w:sz w:val="40"/>
          <w:szCs w:val="40"/>
        </w:rPr>
        <w:t xml:space="preserve">1. Motivation — Why ResearchMind?</w:t>
      </w:r>
    </w:p>
    <w:p>
      <w:pPr>
        <w:spacing w:after="140" w:line="276"/>
        <w:jc w:val="left"/>
      </w:pPr>
      <w:r>
        <w:rPr>
          <w:rFonts w:ascii="Calibri" w:cs="Calibri" w:eastAsia="Calibri" w:hAnsi="Calibri"/>
          <w:color w:val="334155"/>
          <w:sz w:val="22"/>
          <w:szCs w:val="22"/>
        </w:rPr>
        <w:t xml:space="preserve">Academic research is fundamentally broken in one specific way: knowledge is siloed in individual papers, and the cognitive labour of connecting, synthesising, and generating new ideas from a growing literature rests entirely on the human researcher. The average PhD student reads 200–400 papers per year, takes notes in disconnected applications, and struggles to maintain a coherent mental model of their field. Studies show researchers spend up to 6 hours per week just searching for relevant literature — time that could be spent on actual discovery.</w:t>
      </w:r>
    </w:p>
    <w:p>
      <w:pPr>
        <w:spacing w:after="140" w:line="276"/>
        <w:jc w:val="left"/>
      </w:pPr>
      <w:r>
        <w:rPr>
          <w:rFonts w:ascii="Calibri" w:cs="Calibri" w:eastAsia="Calibri" w:hAnsi="Calibri"/>
          <w:color w:val="334155"/>
          <w:sz w:val="22"/>
          <w:szCs w:val="22"/>
        </w:rPr>
        <w:t xml:space="preserve">ResearchMind was built to solve this exact problem. We believe the next breakthrough in any field will come not from reading faster, but from connecting ideas smarter. Our platform uses a three-agent AI architecture to transform a collection of static papers into a living, searchable knowledge graph — one that gets smarter as you add more papers, surfaces hidden connections automatically, and proposes novel research directions no single researcher could see alone. A third agent critically evaluates each paper's methodology, statistical soundness, and reproducibility — helping researchers immediately identify which studies to trust and which to approach with caution.</w:t>
      </w:r>
    </w:p>
    <w:p>
      <w:pPr>
        <w:spacing w:after="140" w:line="276"/>
        <w:jc w:val="left"/>
      </w:pPr>
      <w:r>
        <w:rPr>
          <w:rFonts w:ascii="Calibri" w:cs="Calibri" w:eastAsia="Calibri" w:hAnsi="Calibri"/>
          <w:color w:val="334155"/>
          <w:sz w:val="22"/>
          <w:szCs w:val="22"/>
        </w:rPr>
        <w:t xml:space="preserve">The timing is right: large language models are now capable of understanding scientific text with near-expert accuracy, and free inference APIs (Groq) make real-time AI processing accessible without a large compute budget. ResearchMind is our answer to the question: "What if your entire research library could think — and think critically?"</w:t>
      </w:r>
    </w:p>
    <w:p>
      <w:pPr>
        <w:pStyle w:val="Heading1"/>
        <w:spacing w:after="160" w:before="440"/>
      </w:pPr>
      <w:r>
        <w:rPr>
          <w:rFonts w:ascii="Calibri" w:cs="Calibri" w:eastAsia="Calibri" w:hAnsi="Calibri"/>
          <w:b/>
          <w:bCs/>
          <w:color w:val="0F172A"/>
          <w:sz w:val="40"/>
          <w:szCs w:val="40"/>
        </w:rPr>
        <w:t xml:space="preserve">2. Summary — What is ResearchMind?</w:t>
      </w:r>
    </w:p>
    <w:p>
      <w:pPr>
        <w:spacing w:after="140" w:line="276"/>
        <w:jc w:val="left"/>
      </w:pPr>
      <w:r>
        <w:rPr>
          <w:rFonts w:ascii="Calibri" w:cs="Calibri" w:eastAsia="Calibri" w:hAnsi="Calibri"/>
          <w:color w:val="334155"/>
          <w:sz w:val="22"/>
          <w:szCs w:val="22"/>
        </w:rPr>
        <w:t xml:space="preserve">ResearchMind is a SaaS platform for researchers that uses three specialised AI agents to transform academic paper libraries into interactive knowledge graphs. Researchers upload papers (or paste text), and ResearchMind automatically extracts concepts, methodology, findings, and keywords — then connects papers sharing similar ideas into a visual graph. A second AI agent synthesises the full library, surfaces research gaps, and generates novel, evidence-backed hypotheses. A third agent critically evaluates each paper's quality, flagging methodological weaknesses, biases, and reproducibility issues.</w:t>
      </w:r>
    </w:p>
    <w:p>
      <w:pPr>
        <w:spacing w:after="140" w:line="276"/>
        <w:jc w:val="left"/>
      </w:pPr>
      <w:r>
        <w:rPr>
          <w:rFonts w:ascii="Calibri" w:cs="Calibri" w:eastAsia="Calibri" w:hAnsi="Calibri"/>
          <w:color w:val="334155"/>
          <w:sz w:val="22"/>
          <w:szCs w:val="22"/>
        </w:rPr>
        <w:t xml:space="preserve">The product targets a three-tier market: individual researchers and PhD students (free and €29/month tiers), academic labs (team plan at €99/month), and universities seeking institutional licences (€499/month). Revenue scales naturally with the growth of the academic community, creating a strong network effect.</w:t>
      </w:r>
    </w:p>
    <w:p>
      <w:pPr>
        <w:pStyle w:val="Heading2"/>
        <w:spacing w:after="160" w:before="260"/>
      </w:pPr>
      <w:r>
        <w:rPr>
          <w:rFonts w:ascii="Calibri" w:cs="Calibri" w:eastAsia="Calibri" w:hAnsi="Calibri"/>
          <w:b/>
          <w:bCs/>
          <w:color w:val="0F172A"/>
          <w:sz w:val="30"/>
          <w:szCs w:val="30"/>
        </w:rPr>
        <w:t xml:space="preserve">2.1 User Stories</w:t>
      </w:r>
    </w:p>
    <w:p>
      <w:pPr>
        <w:pStyle w:val="ListParagraph"/>
        <w:numPr>
          <w:ilvl w:val="0"/>
          <w:numId w:val="2"/>
        </w:numPr>
        <w:spacing w:after="80"/>
      </w:pPr>
      <w:r>
        <w:rPr>
          <w:rFonts w:ascii="Calibri" w:cs="Calibri" w:eastAsia="Calibri" w:hAnsi="Calibri"/>
          <w:color w:val="334155"/>
          <w:sz w:val="22"/>
          <w:szCs w:val="22"/>
        </w:rPr>
        <w:t xml:space="preserve">As a PhD student, I want to upload my reading list of 50 papers so that I can visually see which papers share concepts and avoid reading duplicates.</w:t>
      </w:r>
    </w:p>
    <w:p>
      <w:pPr>
        <w:pStyle w:val="ListParagraph"/>
        <w:numPr>
          <w:ilvl w:val="0"/>
          <w:numId w:val="2"/>
        </w:numPr>
        <w:spacing w:after="80"/>
      </w:pPr>
      <w:r>
        <w:rPr>
          <w:rFonts w:ascii="Calibri" w:cs="Calibri" w:eastAsia="Calibri" w:hAnsi="Calibri"/>
          <w:color w:val="334155"/>
          <w:sz w:val="22"/>
          <w:szCs w:val="22"/>
        </w:rPr>
        <w:t xml:space="preserve">As a researcher, I want to ask "What are the main gaps in this field?" so that I can identify my next research direction in minutes instead of weeks.</w:t>
      </w:r>
    </w:p>
    <w:p>
      <w:pPr>
        <w:pStyle w:val="ListParagraph"/>
        <w:numPr>
          <w:ilvl w:val="0"/>
          <w:numId w:val="2"/>
        </w:numPr>
        <w:spacing w:after="80"/>
      </w:pPr>
      <w:r>
        <w:rPr>
          <w:rFonts w:ascii="Calibri" w:cs="Calibri" w:eastAsia="Calibri" w:hAnsi="Calibri"/>
          <w:color w:val="334155"/>
          <w:sz w:val="22"/>
          <w:szCs w:val="22"/>
        </w:rPr>
        <w:t xml:space="preserve">As a lab director, I want my team to share a knowledge graph so that we reduce redundant literature reviews across projects and save 10+ hours per week.</w:t>
      </w:r>
    </w:p>
    <w:p>
      <w:pPr>
        <w:pStyle w:val="ListParagraph"/>
        <w:numPr>
          <w:ilvl w:val="0"/>
          <w:numId w:val="2"/>
        </w:numPr>
        <w:spacing w:after="80"/>
      </w:pPr>
      <w:r>
        <w:rPr>
          <w:rFonts w:ascii="Calibri" w:cs="Calibri" w:eastAsia="Calibri" w:hAnsi="Calibri"/>
          <w:color w:val="334155"/>
          <w:sz w:val="22"/>
          <w:szCs w:val="22"/>
        </w:rPr>
        <w:t xml:space="preserve">As a postdoc, I want ResearchMind to generate novel hypotheses from my library so that I have concrete ideas for my next grant application.</w:t>
      </w:r>
    </w:p>
    <w:p>
      <w:pPr>
        <w:pStyle w:val="ListParagraph"/>
        <w:numPr>
          <w:ilvl w:val="0"/>
          <w:numId w:val="2"/>
        </w:numPr>
        <w:spacing w:after="80"/>
      </w:pPr>
      <w:r>
        <w:rPr>
          <w:rFonts w:ascii="Calibri" w:cs="Calibri" w:eastAsia="Calibri" w:hAnsi="Calibri"/>
          <w:color w:val="334155"/>
          <w:sz w:val="22"/>
          <w:szCs w:val="22"/>
        </w:rPr>
        <w:t xml:space="preserve">As a reviewer, I want the Paper Critic agent to flag statistical weaknesses in a paper so that I can focus my review on the most critical issues.</w:t>
      </w:r>
    </w:p>
    <w:p>
      <w:pPr>
        <w:pStyle w:val="ListParagraph"/>
        <w:numPr>
          <w:ilvl w:val="0"/>
          <w:numId w:val="2"/>
        </w:numPr>
        <w:spacing w:after="80"/>
      </w:pPr>
      <w:r>
        <w:rPr>
          <w:rFonts w:ascii="Calibri" w:cs="Calibri" w:eastAsia="Calibri" w:hAnsi="Calibri"/>
          <w:color w:val="334155"/>
          <w:sz w:val="22"/>
          <w:szCs w:val="22"/>
        </w:rPr>
        <w:t xml:space="preserve">As a university librarian, I want to offer ResearchMind under an institutional licence so that all students benefit from AI-powered literature review.</w:t>
      </w:r>
    </w:p>
    <w:p>
      <w:pPr>
        <w:pStyle w:val="Heading1"/>
        <w:spacing w:after="160" w:before="440"/>
      </w:pPr>
      <w:r>
        <w:rPr>
          <w:rFonts w:ascii="Calibri" w:cs="Calibri" w:eastAsia="Calibri" w:hAnsi="Calibri"/>
          <w:b/>
          <w:bCs/>
          <w:color w:val="0F172A"/>
          <w:sz w:val="40"/>
          <w:szCs w:val="40"/>
        </w:rPr>
        <w:t xml:space="preserve">3. Solution Details</w:t>
      </w:r>
    </w:p>
    <w:p>
      <w:pPr>
        <w:pStyle w:val="Heading2"/>
        <w:spacing w:after="160" w:before="260"/>
      </w:pPr>
      <w:r>
        <w:rPr>
          <w:rFonts w:ascii="Calibri" w:cs="Calibri" w:eastAsia="Calibri" w:hAnsi="Calibri"/>
          <w:b/>
          <w:bCs/>
          <w:color w:val="0F172A"/>
          <w:sz w:val="30"/>
          <w:szCs w:val="30"/>
        </w:rPr>
        <w:t xml:space="preserve">3.1 SWOT Analysis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rPr>
          <w:tblHeader/>
        </w:trPr>
        <w:tc>
          <w:tcPr>
            <w:tcW w:type="dxa" w:w="4753"/>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Strengths (S)</w:t>
            </w:r>
          </w:p>
        </w:tc>
        <w:tc>
          <w:tcPr>
            <w:tcW w:type="dxa" w:w="4753"/>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Weaknesses (W)</w:t>
            </w:r>
          </w:p>
        </w:tc>
      </w:tr>
      <w:tr>
        <w:tc>
          <w:tcPr>
            <w:tcW w:type="dxa" w:w="4753"/>
            <w:tcBorders>
              <w:top w:val="single" w:color="C4B5FD" w:sz="4"/>
              <w:left w:val="single" w:color="C4B5FD" w:sz="4"/>
              <w:bottom w:val="single" w:color="C4B5FD" w:sz="4"/>
              <w:right w:val="single" w:color="C4B5FD" w:sz="4"/>
            </w:tcBorders>
            <w:shd w:fill="EDE9FE" w:val="clear"/>
            <w:tcMar>
              <w:top w:type="dxa" w:w="100"/>
              <w:left w:type="dxa" w:w="140"/>
              <w:bottom w:type="dxa" w:w="100"/>
              <w:right w:type="dxa" w:w="140"/>
            </w:tcMar>
          </w:tcPr>
          <w:p>
            <w:pPr>
              <w:spacing w:after="60"/>
            </w:pPr>
            <w:r>
              <w:rPr>
                <w:rFonts w:ascii="Calibri" w:cs="Calibri" w:eastAsia="Calibri" w:hAnsi="Calibri"/>
                <w:color w:val="0F172A"/>
                <w:sz w:val="20"/>
                <w:szCs w:val="20"/>
              </w:rPr>
              <w:t xml:space="preserve">✦ Three-agent AI — unique in the market</w:t>
            </w:r>
          </w:p>
          <w:p>
            <w:pPr>
              <w:spacing w:after="60"/>
            </w:pPr>
            <w:r>
              <w:rPr>
                <w:rFonts w:ascii="Calibri" w:cs="Calibri" w:eastAsia="Calibri" w:hAnsi="Calibri"/>
                <w:color w:val="0F172A"/>
                <w:sz w:val="20"/>
                <w:szCs w:val="20"/>
              </w:rPr>
              <w:t xml:space="preserve">✦ Groq free tier: 700 tok/s, no credit card needed</w:t>
            </w:r>
          </w:p>
          <w:p>
            <w:pPr>
              <w:spacing w:after="60"/>
            </w:pPr>
            <w:r>
              <w:rPr>
                <w:rFonts w:ascii="Calibri" w:cs="Calibri" w:eastAsia="Calibri" w:hAnsi="Calibri"/>
                <w:color w:val="0F172A"/>
                <w:sz w:val="20"/>
                <w:szCs w:val="20"/>
              </w:rPr>
              <w:t xml:space="preserve">✦ Paper Critic is unmatched by any competitor</w:t>
            </w:r>
          </w:p>
          <w:p>
            <w:pPr>
              <w:spacing w:after="60"/>
            </w:pPr>
            <w:r>
              <w:rPr>
                <w:rFonts w:ascii="Calibri" w:cs="Calibri" w:eastAsia="Calibri" w:hAnsi="Calibri"/>
                <w:color w:val="0F172A"/>
                <w:sz w:val="20"/>
                <w:szCs w:val="20"/>
              </w:rPr>
              <w:t xml:space="preserve">✦ Open-source LLaMA 3.1 — zero per-token cost at MVP</w:t>
            </w:r>
          </w:p>
          <w:p>
            <w:pPr>
              <w:spacing w:after="0"/>
            </w:pPr>
            <w:r>
              <w:rPr>
                <w:rFonts w:ascii="Calibri" w:cs="Calibri" w:eastAsia="Calibri" w:hAnsi="Calibri"/>
                <w:color w:val="0F172A"/>
                <w:sz w:val="20"/>
                <w:szCs w:val="20"/>
              </w:rPr>
              <w:t xml:space="preserve">✦ Academic network effect grows graph automatically</w:t>
            </w:r>
          </w:p>
        </w:tc>
        <w:tc>
          <w:tcPr>
            <w:tcW w:type="dxa" w:w="4753"/>
            <w:tcBorders>
              <w:top w:val="single" w:color="C4B5FD" w:sz="4"/>
              <w:left w:val="single" w:color="C4B5FD" w:sz="4"/>
              <w:bottom w:val="single" w:color="C4B5FD" w:sz="4"/>
              <w:right w:val="single" w:color="C4B5FD" w:sz="4"/>
            </w:tcBorders>
            <w:shd w:fill="FFF7ED" w:val="clear"/>
            <w:tcMar>
              <w:top w:type="dxa" w:w="100"/>
              <w:left w:type="dxa" w:w="140"/>
              <w:bottom w:type="dxa" w:w="100"/>
              <w:right w:type="dxa" w:w="140"/>
            </w:tcMar>
          </w:tcPr>
          <w:p>
            <w:pPr>
              <w:spacing w:after="60"/>
            </w:pPr>
            <w:r>
              <w:rPr>
                <w:rFonts w:ascii="Calibri" w:cs="Calibri" w:eastAsia="Calibri" w:hAnsi="Calibri"/>
                <w:color w:val="0F172A"/>
                <w:sz w:val="20"/>
                <w:szCs w:val="20"/>
              </w:rPr>
              <w:t xml:space="preserve">⚠ No brand recognition vs. Semantic Scholar</w:t>
            </w:r>
          </w:p>
          <w:p>
            <w:pPr>
              <w:spacing w:after="60"/>
            </w:pPr>
            <w:r>
              <w:rPr>
                <w:rFonts w:ascii="Calibri" w:cs="Calibri" w:eastAsia="Calibri" w:hAnsi="Calibri"/>
                <w:color w:val="0F172A"/>
                <w:sz w:val="20"/>
                <w:szCs w:val="20"/>
              </w:rPr>
              <w:t xml:space="preserve">⚠ PDF parsing deferred to v1.1</w:t>
            </w:r>
          </w:p>
          <w:p>
            <w:pPr>
              <w:spacing w:after="60"/>
            </w:pPr>
            <w:r>
              <w:rPr>
                <w:rFonts w:ascii="Calibri" w:cs="Calibri" w:eastAsia="Calibri" w:hAnsi="Calibri"/>
                <w:color w:val="0F172A"/>
                <w:sz w:val="20"/>
                <w:szCs w:val="20"/>
              </w:rPr>
              <w:t xml:space="preserve">⚠ In-memory store — no persistence across restarts</w:t>
            </w:r>
          </w:p>
          <w:p>
            <w:pPr>
              <w:spacing w:after="0"/>
            </w:pPr>
            <w:r>
              <w:rPr>
                <w:rFonts w:ascii="Calibri" w:cs="Calibri" w:eastAsia="Calibri" w:hAnsi="Calibri"/>
                <w:color w:val="0F172A"/>
                <w:sz w:val="20"/>
                <w:szCs w:val="20"/>
              </w:rPr>
              <w:t xml:space="preserve">⚠ Groq free tier: 14,400 requests/day limit</w:t>
            </w:r>
          </w:p>
        </w:tc>
      </w:tr>
      <w:tr>
        <w:trPr>
          <w:tblHeader/>
        </w:trPr>
        <w:tc>
          <w:tcPr>
            <w:tcW w:type="dxa" w:w="4753"/>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Opportunities (O)</w:t>
            </w:r>
          </w:p>
        </w:tc>
        <w:tc>
          <w:tcPr>
            <w:tcW w:type="dxa" w:w="4753"/>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Threats (T)</w:t>
            </w:r>
          </w:p>
        </w:tc>
      </w:tr>
      <w:tr>
        <w:tc>
          <w:tcPr>
            <w:tcW w:type="dxa" w:w="4753"/>
            <w:tcBorders>
              <w:top w:val="single" w:color="C4B5FD" w:sz="4"/>
              <w:left w:val="single" w:color="C4B5FD" w:sz="4"/>
              <w:bottom w:val="single" w:color="C4B5FD" w:sz="4"/>
              <w:right w:val="single" w:color="C4B5FD" w:sz="4"/>
            </w:tcBorders>
            <w:shd w:fill="CFFAFE" w:val="clear"/>
            <w:tcMar>
              <w:top w:type="dxa" w:w="100"/>
              <w:left w:type="dxa" w:w="140"/>
              <w:bottom w:type="dxa" w:w="100"/>
              <w:right w:type="dxa" w:w="140"/>
            </w:tcMar>
          </w:tcPr>
          <w:p>
            <w:pPr>
              <w:spacing w:after="60"/>
            </w:pPr>
            <w:r>
              <w:rPr>
                <w:rFonts w:ascii="Calibri" w:cs="Calibri" w:eastAsia="Calibri" w:hAnsi="Calibri"/>
                <w:color w:val="0F172A"/>
                <w:sz w:val="20"/>
                <w:szCs w:val="20"/>
              </w:rPr>
              <w:t xml:space="preserve">→ 5M+ academic papers published annually</w:t>
            </w:r>
          </w:p>
          <w:p>
            <w:pPr>
              <w:spacing w:after="60"/>
            </w:pPr>
            <w:r>
              <w:rPr>
                <w:rFonts w:ascii="Calibri" w:cs="Calibri" w:eastAsia="Calibri" w:hAnsi="Calibri"/>
                <w:color w:val="0F172A"/>
                <w:sz w:val="20"/>
                <w:szCs w:val="20"/>
              </w:rPr>
              <w:t xml:space="preserve">→ EU Horizon 2027 mandates open-science tooling</w:t>
            </w:r>
          </w:p>
          <w:p>
            <w:pPr>
              <w:spacing w:after="60"/>
            </w:pPr>
            <w:r>
              <w:rPr>
                <w:rFonts w:ascii="Calibri" w:cs="Calibri" w:eastAsia="Calibri" w:hAnsi="Calibri"/>
                <w:color w:val="0F172A"/>
                <w:sz w:val="20"/>
                <w:szCs w:val="20"/>
              </w:rPr>
              <w:t xml:space="preserve">→ AI research assistant market: $2.8B by 2028</w:t>
            </w:r>
          </w:p>
          <w:p>
            <w:pPr>
              <w:spacing w:after="0"/>
            </w:pPr>
            <w:r>
              <w:rPr>
                <w:rFonts w:ascii="Calibri" w:cs="Calibri" w:eastAsia="Calibri" w:hAnsi="Calibri"/>
                <w:color w:val="0F172A"/>
                <w:sz w:val="20"/>
                <w:szCs w:val="20"/>
              </w:rPr>
              <w:t xml:space="preserve">→ University licence deals: 1 deal = thousands of users</w:t>
            </w:r>
          </w:p>
        </w:tc>
        <w:tc>
          <w:tcPr>
            <w:tcW w:type="dxa" w:w="4753"/>
            <w:tcBorders>
              <w:top w:val="single" w:color="C4B5FD" w:sz="4"/>
              <w:left w:val="single" w:color="C4B5FD" w:sz="4"/>
              <w:bottom w:val="single" w:color="C4B5FD" w:sz="4"/>
              <w:right w:val="single" w:color="C4B5FD" w:sz="4"/>
            </w:tcBorders>
            <w:shd w:fill="FEF2F2" w:val="clear"/>
            <w:tcMar>
              <w:top w:type="dxa" w:w="100"/>
              <w:left w:type="dxa" w:w="140"/>
              <w:bottom w:type="dxa" w:w="100"/>
              <w:right w:type="dxa" w:w="140"/>
            </w:tcMar>
          </w:tcPr>
          <w:p>
            <w:pPr>
              <w:spacing w:after="60"/>
            </w:pPr>
            <w:r>
              <w:rPr>
                <w:rFonts w:ascii="Calibri" w:cs="Calibri" w:eastAsia="Calibri" w:hAnsi="Calibri"/>
                <w:color w:val="0F172A"/>
                <w:sz w:val="20"/>
                <w:szCs w:val="20"/>
              </w:rPr>
              <w:t xml:space="preserve">✗ Elsevier / Springer could build similar product</w:t>
            </w:r>
          </w:p>
          <w:p>
            <w:pPr>
              <w:spacing w:after="60"/>
            </w:pPr>
            <w:r>
              <w:rPr>
                <w:rFonts w:ascii="Calibri" w:cs="Calibri" w:eastAsia="Calibri" w:hAnsi="Calibri"/>
                <w:color w:val="0F172A"/>
                <w:sz w:val="20"/>
                <w:szCs w:val="20"/>
              </w:rPr>
              <w:t xml:space="preserve">✗ OpenAI / Anthropic research-focused releases</w:t>
            </w:r>
          </w:p>
          <w:p>
            <w:pPr>
              <w:spacing w:after="60"/>
            </w:pPr>
            <w:r>
              <w:rPr>
                <w:rFonts w:ascii="Calibri" w:cs="Calibri" w:eastAsia="Calibri" w:hAnsi="Calibri"/>
                <w:color w:val="0F172A"/>
                <w:sz w:val="20"/>
                <w:szCs w:val="20"/>
              </w:rPr>
              <w:t xml:space="preserve">✗ GDPR/IP concerns around storing paper text</w:t>
            </w:r>
          </w:p>
          <w:p>
            <w:pPr>
              <w:spacing w:after="0"/>
            </w:pPr>
            <w:r>
              <w:rPr>
                <w:rFonts w:ascii="Calibri" w:cs="Calibri" w:eastAsia="Calibri" w:hAnsi="Calibri"/>
                <w:color w:val="0F172A"/>
                <w:sz w:val="20"/>
                <w:szCs w:val="20"/>
              </w:rPr>
              <w:t xml:space="preserve">✗ Groq could change free-tier pricing</w:t>
            </w:r>
          </w:p>
        </w:tc>
      </w:tr>
    </w:tbl>
    <w:p>
      <w:pPr>
        <w:spacing w:after="60"/>
      </w:pPr>
      <w:r>
        <w:t xml:space="preserve"/>
      </w:r>
    </w:p>
    <w:p>
      <w:pPr>
        <w:pStyle w:val="Heading2"/>
        <w:spacing w:after="160" w:before="260"/>
      </w:pPr>
      <w:r>
        <w:rPr>
          <w:rFonts w:ascii="Calibri" w:cs="Calibri" w:eastAsia="Calibri" w:hAnsi="Calibri"/>
          <w:b/>
          <w:bCs/>
          <w:color w:val="0F172A"/>
          <w:sz w:val="30"/>
          <w:szCs w:val="30"/>
        </w:rPr>
        <w:t xml:space="preserve">3.2 Market Analysis &amp; Competitive Matrix</w:t>
      </w:r>
    </w:p>
    <w:p>
      <w:pPr>
        <w:spacing w:after="140" w:line="276"/>
        <w:jc w:val="left"/>
      </w:pPr>
      <w:r>
        <w:rPr>
          <w:rFonts w:ascii="Calibri" w:cs="Calibri" w:eastAsia="Calibri" w:hAnsi="Calibri"/>
          <w:color w:val="334155"/>
          <w:sz w:val="22"/>
          <w:szCs w:val="22"/>
        </w:rPr>
        <w:t xml:space="preserve">The academic research software market is valued at approximately $8.2 billion globally (2025) and growing at 12% CAGR. The AI research assistant sub-segment is projected to reach $2.8 billion by 2028 (Grand View Research). ResearchMind differentiates on three axes: (1) three-agent AI architecture that no competitor offers, (2) Paper Critic for automated quality evaluation, and (3) a free tier backed by the Groq free API eliminating the cost barrier entirely.</w:t>
      </w:r>
    </w:p>
    <w:p>
      <w:pPr>
        <w:spacing w:after="60"/>
      </w:pPr>
      <w:r>
        <w:t xml:space="preserve"/>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600"/>
        <w:gridCol w:w="1726"/>
        <w:gridCol w:w="1726"/>
        <w:gridCol w:w="1726"/>
        <w:gridCol w:w="1728"/>
      </w:tblGrid>
      <w:tr>
        <w:trPr>
          <w:tblHeader/>
        </w:trPr>
        <w:tc>
          <w:tcPr>
            <w:tcW w:type="dxa" w:w="26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Feature</w:t>
            </w:r>
          </w:p>
        </w:tc>
        <w:tc>
          <w:tcPr>
            <w:tcW w:type="dxa" w:w="1726"/>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ResearchMind</w:t>
            </w:r>
          </w:p>
        </w:tc>
        <w:tc>
          <w:tcPr>
            <w:tcW w:type="dxa" w:w="1726"/>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ResearchRabbit</w:t>
            </w:r>
          </w:p>
        </w:tc>
        <w:tc>
          <w:tcPr>
            <w:tcW w:type="dxa" w:w="1726"/>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Connected Papers</w:t>
            </w:r>
          </w:p>
        </w:tc>
        <w:tc>
          <w:tcPr>
            <w:tcW w:type="dxa" w:w="1728"/>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Semantic Scholar</w:t>
            </w:r>
          </w:p>
        </w:tc>
      </w:tr>
      <w:tr>
        <w:tc>
          <w:tcPr>
            <w:tcW w:type="dxa" w:w="26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0F172A"/>
                <w:sz w:val="19"/>
                <w:szCs w:val="19"/>
              </w:rPr>
              <w:t xml:space="preserve">3-Agent AI Architecture</w:t>
            </w:r>
          </w:p>
        </w:tc>
        <w:tc>
          <w:tcPr>
            <w:tcW w:type="dxa" w:w="172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59669"/>
                <w:sz w:val="19"/>
                <w:szCs w:val="19"/>
              </w:rPr>
              <w:t xml:space="preserve">✓</w:t>
            </w:r>
          </w:p>
        </w:tc>
        <w:tc>
          <w:tcPr>
            <w:tcW w:type="dxa" w:w="172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94A3B8"/>
                <w:sz w:val="19"/>
                <w:szCs w:val="19"/>
              </w:rPr>
              <w:t xml:space="preserve">✗</w:t>
            </w:r>
          </w:p>
        </w:tc>
        <w:tc>
          <w:tcPr>
            <w:tcW w:type="dxa" w:w="172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94A3B8"/>
                <w:sz w:val="19"/>
                <w:szCs w:val="19"/>
              </w:rPr>
              <w:t xml:space="preserve">✗</w:t>
            </w:r>
          </w:p>
        </w:tc>
        <w:tc>
          <w:tcPr>
            <w:tcW w:type="dxa" w:w="1728"/>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94A3B8"/>
                <w:sz w:val="19"/>
                <w:szCs w:val="19"/>
              </w:rPr>
              <w:t xml:space="preserve">✗</w:t>
            </w:r>
          </w:p>
        </w:tc>
      </w:tr>
      <w:tr>
        <w:tc>
          <w:tcPr>
            <w:tcW w:type="dxa" w:w="26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0F172A"/>
                <w:sz w:val="19"/>
                <w:szCs w:val="19"/>
              </w:rPr>
              <w:t xml:space="preserve">Hypothesis Generator</w:t>
            </w:r>
          </w:p>
        </w:tc>
        <w:tc>
          <w:tcPr>
            <w:tcW w:type="dxa" w:w="172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59669"/>
                <w:sz w:val="19"/>
                <w:szCs w:val="19"/>
              </w:rPr>
              <w:t xml:space="preserve">✓</w:t>
            </w:r>
          </w:p>
        </w:tc>
        <w:tc>
          <w:tcPr>
            <w:tcW w:type="dxa" w:w="172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94A3B8"/>
                <w:sz w:val="19"/>
                <w:szCs w:val="19"/>
              </w:rPr>
              <w:t xml:space="preserve">✗</w:t>
            </w:r>
          </w:p>
        </w:tc>
        <w:tc>
          <w:tcPr>
            <w:tcW w:type="dxa" w:w="172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94A3B8"/>
                <w:sz w:val="19"/>
                <w:szCs w:val="19"/>
              </w:rPr>
              <w:t xml:space="preserve">✗</w:t>
            </w:r>
          </w:p>
        </w:tc>
        <w:tc>
          <w:tcPr>
            <w:tcW w:type="dxa" w:w="1728"/>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94A3B8"/>
                <w:sz w:val="19"/>
                <w:szCs w:val="19"/>
              </w:rPr>
              <w:t xml:space="preserve">✗</w:t>
            </w:r>
          </w:p>
        </w:tc>
      </w:tr>
      <w:tr>
        <w:tc>
          <w:tcPr>
            <w:tcW w:type="dxa" w:w="26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0F172A"/>
                <w:sz w:val="19"/>
                <w:szCs w:val="19"/>
              </w:rPr>
              <w:t xml:space="preserve">Paper Critic / Quality Score</w:t>
            </w:r>
          </w:p>
        </w:tc>
        <w:tc>
          <w:tcPr>
            <w:tcW w:type="dxa" w:w="172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59669"/>
                <w:sz w:val="19"/>
                <w:szCs w:val="19"/>
              </w:rPr>
              <w:t xml:space="preserve">✓</w:t>
            </w:r>
          </w:p>
        </w:tc>
        <w:tc>
          <w:tcPr>
            <w:tcW w:type="dxa" w:w="172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94A3B8"/>
                <w:sz w:val="19"/>
                <w:szCs w:val="19"/>
              </w:rPr>
              <w:t xml:space="preserve">✗</w:t>
            </w:r>
          </w:p>
        </w:tc>
        <w:tc>
          <w:tcPr>
            <w:tcW w:type="dxa" w:w="172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94A3B8"/>
                <w:sz w:val="19"/>
                <w:szCs w:val="19"/>
              </w:rPr>
              <w:t xml:space="preserve">✗</w:t>
            </w:r>
          </w:p>
        </w:tc>
        <w:tc>
          <w:tcPr>
            <w:tcW w:type="dxa" w:w="1728"/>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94A3B8"/>
                <w:sz w:val="19"/>
                <w:szCs w:val="19"/>
              </w:rPr>
              <w:t xml:space="preserve">✗</w:t>
            </w:r>
          </w:p>
        </w:tc>
      </w:tr>
      <w:tr>
        <w:tc>
          <w:tcPr>
            <w:tcW w:type="dxa" w:w="26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0F172A"/>
                <w:sz w:val="19"/>
                <w:szCs w:val="19"/>
              </w:rPr>
              <w:t xml:space="preserve">Interactive Knowledge Graph</w:t>
            </w:r>
          </w:p>
        </w:tc>
        <w:tc>
          <w:tcPr>
            <w:tcW w:type="dxa" w:w="172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59669"/>
                <w:sz w:val="19"/>
                <w:szCs w:val="19"/>
              </w:rPr>
              <w:t xml:space="preserve">✓ Live</w:t>
            </w:r>
          </w:p>
        </w:tc>
        <w:tc>
          <w:tcPr>
            <w:tcW w:type="dxa" w:w="172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 Limited</w:t>
            </w:r>
          </w:p>
        </w:tc>
        <w:tc>
          <w:tcPr>
            <w:tcW w:type="dxa" w:w="172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 Citation only</w:t>
            </w:r>
          </w:p>
        </w:tc>
        <w:tc>
          <w:tcPr>
            <w:tcW w:type="dxa" w:w="1728"/>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94A3B8"/>
                <w:sz w:val="19"/>
                <w:szCs w:val="19"/>
              </w:rPr>
              <w:t xml:space="preserve">✗</w:t>
            </w:r>
          </w:p>
        </w:tc>
      </w:tr>
      <w:tr>
        <w:tc>
          <w:tcPr>
            <w:tcW w:type="dxa" w:w="26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0F172A"/>
                <w:sz w:val="19"/>
                <w:szCs w:val="19"/>
              </w:rPr>
              <w:t xml:space="preserve">Chat with Library</w:t>
            </w:r>
          </w:p>
        </w:tc>
        <w:tc>
          <w:tcPr>
            <w:tcW w:type="dxa" w:w="172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59669"/>
                <w:sz w:val="19"/>
                <w:szCs w:val="19"/>
              </w:rPr>
              <w:t xml:space="preserve">✓</w:t>
            </w:r>
          </w:p>
        </w:tc>
        <w:tc>
          <w:tcPr>
            <w:tcW w:type="dxa" w:w="172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94A3B8"/>
                <w:sz w:val="19"/>
                <w:szCs w:val="19"/>
              </w:rPr>
              <w:t xml:space="preserve">✗</w:t>
            </w:r>
          </w:p>
        </w:tc>
        <w:tc>
          <w:tcPr>
            <w:tcW w:type="dxa" w:w="172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94A3B8"/>
                <w:sz w:val="19"/>
                <w:szCs w:val="19"/>
              </w:rPr>
              <w:t xml:space="preserve">✗</w:t>
            </w:r>
          </w:p>
        </w:tc>
        <w:tc>
          <w:tcPr>
            <w:tcW w:type="dxa" w:w="1728"/>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94A3B8"/>
                <w:sz w:val="19"/>
                <w:szCs w:val="19"/>
              </w:rPr>
              <w:t xml:space="preserve">✗</w:t>
            </w:r>
          </w:p>
        </w:tc>
      </w:tr>
      <w:tr>
        <w:tc>
          <w:tcPr>
            <w:tcW w:type="dxa" w:w="26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0F172A"/>
                <w:sz w:val="19"/>
                <w:szCs w:val="19"/>
              </w:rPr>
              <w:t xml:space="preserve">Free Tier</w:t>
            </w:r>
          </w:p>
        </w:tc>
        <w:tc>
          <w:tcPr>
            <w:tcW w:type="dxa" w:w="172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59669"/>
                <w:sz w:val="19"/>
                <w:szCs w:val="19"/>
              </w:rPr>
              <w:t xml:space="preserve">✓ 50 papers</w:t>
            </w:r>
          </w:p>
        </w:tc>
        <w:tc>
          <w:tcPr>
            <w:tcW w:type="dxa" w:w="172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 Unlimited</w:t>
            </w:r>
          </w:p>
        </w:tc>
        <w:tc>
          <w:tcPr>
            <w:tcW w:type="dxa" w:w="172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 5/mo</w:t>
            </w:r>
          </w:p>
        </w:tc>
        <w:tc>
          <w:tcPr>
            <w:tcW w:type="dxa" w:w="1728"/>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 Search only</w:t>
            </w:r>
          </w:p>
        </w:tc>
      </w:tr>
      <w:tr>
        <w:tc>
          <w:tcPr>
            <w:tcW w:type="dxa" w:w="26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0F172A"/>
                <w:sz w:val="19"/>
                <w:szCs w:val="19"/>
              </w:rPr>
              <w:t xml:space="preserve">PDF Upload</w:t>
            </w:r>
          </w:p>
        </w:tc>
        <w:tc>
          <w:tcPr>
            <w:tcW w:type="dxa" w:w="172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 (v1.1)</w:t>
            </w:r>
          </w:p>
        </w:tc>
        <w:tc>
          <w:tcPr>
            <w:tcW w:type="dxa" w:w="172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w:t>
            </w:r>
          </w:p>
        </w:tc>
        <w:tc>
          <w:tcPr>
            <w:tcW w:type="dxa" w:w="172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w:t>
            </w:r>
          </w:p>
        </w:tc>
        <w:tc>
          <w:tcPr>
            <w:tcW w:type="dxa" w:w="1728"/>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w:t>
            </w:r>
          </w:p>
        </w:tc>
      </w:tr>
      <w:tr>
        <w:tc>
          <w:tcPr>
            <w:tcW w:type="dxa" w:w="26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0F172A"/>
                <w:sz w:val="19"/>
                <w:szCs w:val="19"/>
              </w:rPr>
              <w:t xml:space="preserve">API Access</w:t>
            </w:r>
          </w:p>
        </w:tc>
        <w:tc>
          <w:tcPr>
            <w:tcW w:type="dxa" w:w="172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59669"/>
                <w:sz w:val="19"/>
                <w:szCs w:val="19"/>
              </w:rPr>
              <w:t xml:space="preserve">✓ Lab tier</w:t>
            </w:r>
          </w:p>
        </w:tc>
        <w:tc>
          <w:tcPr>
            <w:tcW w:type="dxa" w:w="172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94A3B8"/>
                <w:sz w:val="19"/>
                <w:szCs w:val="19"/>
              </w:rPr>
              <w:t xml:space="preserve">✗</w:t>
            </w:r>
          </w:p>
        </w:tc>
        <w:tc>
          <w:tcPr>
            <w:tcW w:type="dxa" w:w="172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94A3B8"/>
                <w:sz w:val="19"/>
                <w:szCs w:val="19"/>
              </w:rPr>
              <w:t xml:space="preserve">✗</w:t>
            </w:r>
          </w:p>
        </w:tc>
        <w:tc>
          <w:tcPr>
            <w:tcW w:type="dxa" w:w="1728"/>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 Limited</w:t>
            </w:r>
          </w:p>
        </w:tc>
      </w:tr>
    </w:tbl>
    <w:p>
      <w:pPr>
        <w:spacing w:after="60"/>
      </w:pPr>
      <w:r>
        <w:t xml:space="preserve"/>
      </w:r>
    </w:p>
    <w:p>
      <w:pPr>
        <w:pStyle w:val="Heading2"/>
        <w:spacing w:after="160" w:before="260"/>
      </w:pPr>
      <w:r>
        <w:rPr>
          <w:rFonts w:ascii="Calibri" w:cs="Calibri" w:eastAsia="Calibri" w:hAnsi="Calibri"/>
          <w:b/>
          <w:bCs/>
          <w:color w:val="0F172A"/>
          <w:sz w:val="30"/>
          <w:szCs w:val="30"/>
        </w:rPr>
        <w:t xml:space="preserve">3.3 Technology Stack</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000"/>
        <w:gridCol w:w="3506"/>
        <w:gridCol w:w="4000"/>
      </w:tblGrid>
      <w:tr>
        <w:trPr>
          <w:tblHeader/>
        </w:trPr>
        <w:tc>
          <w:tcPr>
            <w:tcW w:type="dxa" w:w="20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Layer</w:t>
            </w:r>
          </w:p>
        </w:tc>
        <w:tc>
          <w:tcPr>
            <w:tcW w:type="dxa" w:w="3506"/>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Technology</w:t>
            </w:r>
          </w:p>
        </w:tc>
        <w:tc>
          <w:tcPr>
            <w:tcW w:type="dxa" w:w="40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Rationale</w:t>
            </w:r>
          </w:p>
        </w:tc>
      </w:tr>
      <w:tr>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0F172A"/>
                <w:sz w:val="19"/>
                <w:szCs w:val="19"/>
              </w:rPr>
              <w:t xml:space="preserve">AI Inference</w:t>
            </w:r>
          </w:p>
        </w:tc>
        <w:tc>
          <w:tcPr>
            <w:tcW w:type="dxa" w:w="35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6D28D9"/>
                <w:sz w:val="19"/>
                <w:szCs w:val="19"/>
              </w:rPr>
              <w:t xml:space="preserve">Groq API + LLaMA 3.1 8B Instant</w:t>
            </w:r>
          </w:p>
        </w:tc>
        <w:tc>
          <w:tcPr>
            <w:tcW w:type="dxa" w:w="4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700 tok/s; free up to 14,400 req/day; no credit card</w:t>
            </w:r>
          </w:p>
        </w:tc>
      </w:tr>
      <w:tr>
        <w:tc>
          <w:tcPr>
            <w:tcW w:type="dxa" w:w="2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0F172A"/>
                <w:sz w:val="19"/>
                <w:szCs w:val="19"/>
              </w:rPr>
              <w:t xml:space="preserve">Agent 1</w:t>
            </w:r>
          </w:p>
        </w:tc>
        <w:tc>
          <w:tcPr>
            <w:tcW w:type="dxa" w:w="350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6D28D9"/>
                <w:sz w:val="19"/>
                <w:szCs w:val="19"/>
              </w:rPr>
              <w:t xml:space="preserve">Paper Analyzer (Python/Groq)</w:t>
            </w:r>
          </w:p>
        </w:tc>
        <w:tc>
          <w:tcPr>
            <w:tcW w:type="dxa" w:w="4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Extracts title, concepts, methodology, findings, keywords</w:t>
            </w:r>
          </w:p>
        </w:tc>
      </w:tr>
      <w:tr>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0F172A"/>
                <w:sz w:val="19"/>
                <w:szCs w:val="19"/>
              </w:rPr>
              <w:t xml:space="preserve">Agent 2</w:t>
            </w:r>
          </w:p>
        </w:tc>
        <w:tc>
          <w:tcPr>
            <w:tcW w:type="dxa" w:w="35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6D28D9"/>
                <w:sz w:val="19"/>
                <w:szCs w:val="19"/>
              </w:rPr>
              <w:t xml:space="preserve">Synthesis Agent (Python/Groq)</w:t>
            </w:r>
          </w:p>
        </w:tc>
        <w:tc>
          <w:tcPr>
            <w:tcW w:type="dxa" w:w="4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Cross-paper themes, gaps, novel hypothesis generation</w:t>
            </w:r>
          </w:p>
        </w:tc>
      </w:tr>
      <w:tr>
        <w:tc>
          <w:tcPr>
            <w:tcW w:type="dxa" w:w="2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0F172A"/>
                <w:sz w:val="19"/>
                <w:szCs w:val="19"/>
              </w:rPr>
              <w:t xml:space="preserve">Agent 3</w:t>
            </w:r>
          </w:p>
        </w:tc>
        <w:tc>
          <w:tcPr>
            <w:tcW w:type="dxa" w:w="350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6D28D9"/>
                <w:sz w:val="19"/>
                <w:szCs w:val="19"/>
              </w:rPr>
              <w:t xml:space="preserve">Paper Critic (Python/Groq)</w:t>
            </w:r>
          </w:p>
        </w:tc>
        <w:tc>
          <w:tcPr>
            <w:tcW w:type="dxa" w:w="4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Quality score, biases, reproducibility, improvements</w:t>
            </w:r>
          </w:p>
        </w:tc>
      </w:tr>
      <w:tr>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0F172A"/>
                <w:sz w:val="19"/>
                <w:szCs w:val="19"/>
              </w:rPr>
              <w:t xml:space="preserve">Backend</w:t>
            </w:r>
          </w:p>
        </w:tc>
        <w:tc>
          <w:tcPr>
            <w:tcW w:type="dxa" w:w="35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6D28D9"/>
                <w:sz w:val="19"/>
                <w:szCs w:val="19"/>
              </w:rPr>
              <w:t xml:space="preserve">Python 3.9 + FastAPI + Uvicorn</w:t>
            </w:r>
          </w:p>
        </w:tc>
        <w:tc>
          <w:tcPr>
            <w:tcW w:type="dxa" w:w="4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Fast async API; excellent Groq AsyncGroq SDK support</w:t>
            </w:r>
          </w:p>
        </w:tc>
      </w:tr>
      <w:tr>
        <w:tc>
          <w:tcPr>
            <w:tcW w:type="dxa" w:w="2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0F172A"/>
                <w:sz w:val="19"/>
                <w:szCs w:val="19"/>
              </w:rPr>
              <w:t xml:space="preserve">Frontend</w:t>
            </w:r>
          </w:p>
        </w:tc>
        <w:tc>
          <w:tcPr>
            <w:tcW w:type="dxa" w:w="350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6D28D9"/>
                <w:sz w:val="19"/>
                <w:szCs w:val="19"/>
              </w:rPr>
              <w:t xml:space="preserve">HTML5 + Canvas API + Three.js + GSAP</w:t>
            </w:r>
          </w:p>
        </w:tc>
        <w:tc>
          <w:tcPr>
            <w:tcW w:type="dxa" w:w="4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No framework overhead; 3D neural graph; runs in any browser</w:t>
            </w:r>
          </w:p>
        </w:tc>
      </w:tr>
      <w:tr>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0F172A"/>
                <w:sz w:val="19"/>
                <w:szCs w:val="19"/>
              </w:rPr>
              <w:t xml:space="preserve">Fonts</w:t>
            </w:r>
          </w:p>
        </w:tc>
        <w:tc>
          <w:tcPr>
            <w:tcW w:type="dxa" w:w="35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6D28D9"/>
                <w:sz w:val="19"/>
                <w:szCs w:val="19"/>
              </w:rPr>
              <w:t xml:space="preserve">Space Grotesk + Inter + JetBrains Mono</w:t>
            </w:r>
          </w:p>
        </w:tc>
        <w:tc>
          <w:tcPr>
            <w:tcW w:type="dxa" w:w="4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Modern, technical, readable across all devices</w:t>
            </w:r>
          </w:p>
        </w:tc>
      </w:tr>
      <w:tr>
        <w:tc>
          <w:tcPr>
            <w:tcW w:type="dxa" w:w="2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0F172A"/>
                <w:sz w:val="19"/>
                <w:szCs w:val="19"/>
              </w:rPr>
              <w:t xml:space="preserve">Deployment</w:t>
            </w:r>
          </w:p>
        </w:tc>
        <w:tc>
          <w:tcPr>
            <w:tcW w:type="dxa" w:w="350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6D28D9"/>
                <w:sz w:val="19"/>
                <w:szCs w:val="19"/>
              </w:rPr>
              <w:t xml:space="preserve">Docker + Railway.app free tier</w:t>
            </w:r>
          </w:p>
        </w:tc>
        <w:tc>
          <w:tcPr>
            <w:tcW w:type="dxa" w:w="4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Zero-ops for MVP; $0/month infrastructure</w:t>
            </w:r>
          </w:p>
        </w:tc>
      </w:tr>
    </w:tbl>
    <w:p>
      <w:pPr>
        <w:spacing w:after="60"/>
      </w:pPr>
      <w:r>
        <w:t xml:space="preserve"/>
      </w:r>
    </w:p>
    <w:p>
      <w:pPr>
        <w:pStyle w:val="Heading2"/>
        <w:spacing w:after="160" w:before="260"/>
      </w:pPr>
      <w:r>
        <w:rPr>
          <w:rFonts w:ascii="Calibri" w:cs="Calibri" w:eastAsia="Calibri" w:hAnsi="Calibri"/>
          <w:b/>
          <w:bCs/>
          <w:color w:val="0F172A"/>
          <w:sz w:val="30"/>
          <w:szCs w:val="30"/>
        </w:rPr>
        <w:t xml:space="preserve">3.4 Risk Register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1000"/>
        <w:gridCol w:w="1000"/>
        <w:gridCol w:w="4306"/>
      </w:tblGrid>
      <w:tr>
        <w:trPr>
          <w:tblHeader/>
        </w:trPr>
        <w:tc>
          <w:tcPr>
            <w:tcW w:type="dxa" w:w="22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Risk</w:t>
            </w:r>
          </w:p>
        </w:tc>
        <w:tc>
          <w:tcPr>
            <w:tcW w:type="dxa" w:w="10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Type</w:t>
            </w:r>
          </w:p>
        </w:tc>
        <w:tc>
          <w:tcPr>
            <w:tcW w:type="dxa" w:w="10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Prob.</w:t>
            </w:r>
          </w:p>
        </w:tc>
        <w:tc>
          <w:tcPr>
            <w:tcW w:type="dxa" w:w="10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Impact</w:t>
            </w:r>
          </w:p>
        </w:tc>
        <w:tc>
          <w:tcPr>
            <w:tcW w:type="dxa" w:w="4306"/>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Response Plan</w:t>
            </w:r>
          </w:p>
        </w:tc>
      </w:tr>
      <w:tr>
        <w:tc>
          <w:tcPr>
            <w:tcW w:type="dxa" w:w="22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0F172A"/>
                <w:sz w:val="19"/>
                <w:szCs w:val="19"/>
              </w:rPr>
              <w:t xml:space="preserve">Groq API rate limiting at peak usage</w:t>
            </w:r>
          </w:p>
        </w:tc>
        <w:tc>
          <w:tcPr>
            <w:tcW w:type="dxa" w:w="1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Technical</w:t>
            </w:r>
          </w:p>
        </w:tc>
        <w:tc>
          <w:tcPr>
            <w:tcW w:type="dxa" w:w="1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D97706"/>
                <w:sz w:val="19"/>
                <w:szCs w:val="19"/>
              </w:rPr>
              <w:t xml:space="preserve">Medium</w:t>
            </w:r>
          </w:p>
        </w:tc>
        <w:tc>
          <w:tcPr>
            <w:tcW w:type="dxa" w:w="1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DC2626"/>
                <w:sz w:val="19"/>
                <w:szCs w:val="19"/>
              </w:rPr>
              <w:t xml:space="preserve">High</w:t>
            </w:r>
          </w:p>
        </w:tc>
        <w:tc>
          <w:tcPr>
            <w:tcW w:type="dxa" w:w="43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Implement request queue + fallback to local Ollama; cache frequent queries</w:t>
            </w:r>
          </w:p>
        </w:tc>
      </w:tr>
      <w:tr>
        <w:tc>
          <w:tcPr>
            <w:tcW w:type="dxa" w:w="22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0F172A"/>
                <w:sz w:val="19"/>
                <w:szCs w:val="19"/>
              </w:rPr>
              <w:t xml:space="preserve">LLM hallucinations in hypothesis output</w:t>
            </w:r>
          </w:p>
        </w:tc>
        <w:tc>
          <w:tcPr>
            <w:tcW w:type="dxa" w:w="1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Technical</w:t>
            </w:r>
          </w:p>
        </w:tc>
        <w:tc>
          <w:tcPr>
            <w:tcW w:type="dxa" w:w="1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D97706"/>
                <w:sz w:val="19"/>
                <w:szCs w:val="19"/>
              </w:rPr>
              <w:t xml:space="preserve">Medium</w:t>
            </w:r>
          </w:p>
        </w:tc>
        <w:tc>
          <w:tcPr>
            <w:tcW w:type="dxa" w:w="1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D97706"/>
                <w:sz w:val="19"/>
                <w:szCs w:val="19"/>
              </w:rPr>
              <w:t xml:space="preserve">Medium</w:t>
            </w:r>
          </w:p>
        </w:tc>
        <w:tc>
          <w:tcPr>
            <w:tcW w:type="dxa" w:w="430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Add source-grounding in prompts; display confidence scores; user flagging</w:t>
            </w:r>
          </w:p>
        </w:tc>
      </w:tr>
      <w:tr>
        <w:tc>
          <w:tcPr>
            <w:tcW w:type="dxa" w:w="22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0F172A"/>
                <w:sz w:val="19"/>
                <w:szCs w:val="19"/>
              </w:rPr>
              <w:t xml:space="preserve">Competitor (Elsevier) builds similar tool</w:t>
            </w:r>
          </w:p>
        </w:tc>
        <w:tc>
          <w:tcPr>
            <w:tcW w:type="dxa" w:w="1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Business</w:t>
            </w:r>
          </w:p>
        </w:tc>
        <w:tc>
          <w:tcPr>
            <w:tcW w:type="dxa" w:w="1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59669"/>
                <w:sz w:val="19"/>
                <w:szCs w:val="19"/>
              </w:rPr>
              <w:t xml:space="preserve">Low</w:t>
            </w:r>
          </w:p>
        </w:tc>
        <w:tc>
          <w:tcPr>
            <w:tcW w:type="dxa" w:w="1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DC2626"/>
                <w:sz w:val="19"/>
                <w:szCs w:val="19"/>
              </w:rPr>
              <w:t xml:space="preserve">High</w:t>
            </w:r>
          </w:p>
        </w:tc>
        <w:tc>
          <w:tcPr>
            <w:tcW w:type="dxa" w:w="43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Accelerate community features; build switching costs via graph data ownership</w:t>
            </w:r>
          </w:p>
        </w:tc>
      </w:tr>
      <w:tr>
        <w:tc>
          <w:tcPr>
            <w:tcW w:type="dxa" w:w="22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0F172A"/>
                <w:sz w:val="19"/>
                <w:szCs w:val="19"/>
              </w:rPr>
              <w:t xml:space="preserve">GDPR violation — storing paper text</w:t>
            </w:r>
          </w:p>
        </w:tc>
        <w:tc>
          <w:tcPr>
            <w:tcW w:type="dxa" w:w="1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Legal</w:t>
            </w:r>
          </w:p>
        </w:tc>
        <w:tc>
          <w:tcPr>
            <w:tcW w:type="dxa" w:w="1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59669"/>
                <w:sz w:val="19"/>
                <w:szCs w:val="19"/>
              </w:rPr>
              <w:t xml:space="preserve">Low</w:t>
            </w:r>
          </w:p>
        </w:tc>
        <w:tc>
          <w:tcPr>
            <w:tcW w:type="dxa" w:w="1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DC2626"/>
                <w:sz w:val="19"/>
                <w:szCs w:val="19"/>
              </w:rPr>
              <w:t xml:space="preserve">High</w:t>
            </w:r>
          </w:p>
        </w:tc>
        <w:tc>
          <w:tcPr>
            <w:tcW w:type="dxa" w:w="430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Process text client-side; store only metadata; EU server option in v1.2</w:t>
            </w:r>
          </w:p>
        </w:tc>
      </w:tr>
      <w:tr>
        <w:tc>
          <w:tcPr>
            <w:tcW w:type="dxa" w:w="22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0F172A"/>
                <w:sz w:val="19"/>
                <w:szCs w:val="19"/>
              </w:rPr>
              <w:t xml:space="preserve">Key developer leaves the team</w:t>
            </w:r>
          </w:p>
        </w:tc>
        <w:tc>
          <w:tcPr>
            <w:tcW w:type="dxa" w:w="1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Project</w:t>
            </w:r>
          </w:p>
        </w:tc>
        <w:tc>
          <w:tcPr>
            <w:tcW w:type="dxa" w:w="1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59669"/>
                <w:sz w:val="19"/>
                <w:szCs w:val="19"/>
              </w:rPr>
              <w:t xml:space="preserve">Low</w:t>
            </w:r>
          </w:p>
        </w:tc>
        <w:tc>
          <w:tcPr>
            <w:tcW w:type="dxa" w:w="1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D97706"/>
                <w:sz w:val="19"/>
                <w:szCs w:val="19"/>
              </w:rPr>
              <w:t xml:space="preserve">Medium</w:t>
            </w:r>
          </w:p>
        </w:tc>
        <w:tc>
          <w:tcPr>
            <w:tcW w:type="dxa" w:w="43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Document all architecture; pair programming; reduce bus factor</w:t>
            </w:r>
          </w:p>
        </w:tc>
      </w:tr>
      <w:tr>
        <w:tc>
          <w:tcPr>
            <w:tcW w:type="dxa" w:w="22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0F172A"/>
                <w:sz w:val="19"/>
                <w:szCs w:val="19"/>
              </w:rPr>
              <w:t xml:space="preserve">Groq changes free-tier pricing</w:t>
            </w:r>
          </w:p>
        </w:tc>
        <w:tc>
          <w:tcPr>
            <w:tcW w:type="dxa" w:w="1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Business</w:t>
            </w:r>
          </w:p>
        </w:tc>
        <w:tc>
          <w:tcPr>
            <w:tcW w:type="dxa" w:w="1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D97706"/>
                <w:sz w:val="19"/>
                <w:szCs w:val="19"/>
              </w:rPr>
              <w:t xml:space="preserve">Medium</w:t>
            </w:r>
          </w:p>
        </w:tc>
        <w:tc>
          <w:tcPr>
            <w:tcW w:type="dxa" w:w="1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D97706"/>
                <w:sz w:val="19"/>
                <w:szCs w:val="19"/>
              </w:rPr>
              <w:t xml:space="preserve">Medium</w:t>
            </w:r>
          </w:p>
        </w:tc>
        <w:tc>
          <w:tcPr>
            <w:tcW w:type="dxa" w:w="430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Maintain Ollama (local LLM) as zero-cost fallback at all times</w:t>
            </w:r>
          </w:p>
        </w:tc>
      </w:tr>
    </w:tbl>
    <w:p>
      <w:pPr>
        <w:spacing w:after="60"/>
      </w:pPr>
      <w:r>
        <w:t xml:space="preserve"/>
      </w:r>
    </w:p>
    <w:p>
      <w:pPr>
        <w:pStyle w:val="Heading1"/>
        <w:spacing w:after="160" w:before="440"/>
      </w:pPr>
      <w:r>
        <w:rPr>
          <w:rFonts w:ascii="Calibri" w:cs="Calibri" w:eastAsia="Calibri" w:hAnsi="Calibri"/>
          <w:b/>
          <w:bCs/>
          <w:color w:val="0F172A"/>
          <w:sz w:val="40"/>
          <w:szCs w:val="40"/>
        </w:rPr>
        <w:t xml:space="preserve">4. Planning</w:t>
      </w:r>
    </w:p>
    <w:p>
      <w:pPr>
        <w:pStyle w:val="Heading2"/>
        <w:spacing w:after="160" w:before="260"/>
      </w:pPr>
      <w:r>
        <w:rPr>
          <w:rFonts w:ascii="Calibri" w:cs="Calibri" w:eastAsia="Calibri" w:hAnsi="Calibri"/>
          <w:b/>
          <w:bCs/>
          <w:color w:val="0F172A"/>
          <w:sz w:val="30"/>
          <w:szCs w:val="30"/>
        </w:rPr>
        <w:t xml:space="preserve">4.1 Team Composition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3106"/>
        <w:gridCol w:w="2000"/>
      </w:tblGrid>
      <w:tr>
        <w:trPr>
          <w:tblHeader/>
        </w:trPr>
        <w:tc>
          <w:tcPr>
            <w:tcW w:type="dxa" w:w="24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Member</w:t>
            </w:r>
          </w:p>
        </w:tc>
        <w:tc>
          <w:tcPr>
            <w:tcW w:type="dxa" w:w="20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Role</w:t>
            </w:r>
          </w:p>
        </w:tc>
        <w:tc>
          <w:tcPr>
            <w:tcW w:type="dxa" w:w="3106"/>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Responsibilities</w:t>
            </w:r>
          </w:p>
        </w:tc>
        <w:tc>
          <w:tcPr>
            <w:tcW w:type="dxa" w:w="20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Allocation</w:t>
            </w:r>
          </w:p>
        </w:tc>
      </w:tr>
      <w:tr>
        <w:tc>
          <w:tcPr>
            <w:tcW w:type="dxa" w:w="24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6D28D9"/>
                <w:sz w:val="19"/>
                <w:szCs w:val="19"/>
              </w:rPr>
              <w:t xml:space="preserve">Teodor Mihailescu</w:t>
            </w:r>
          </w:p>
        </w:tc>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Full-Stack Dev &amp; AI Engineer</w:t>
            </w:r>
          </w:p>
        </w:tc>
        <w:tc>
          <w:tcPr>
            <w:tcW w:type="dxa" w:w="31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FastAPI backend, all 3 Groq agents, deployment, Docker</w:t>
            </w:r>
          </w:p>
        </w:tc>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100% — 160h / 2 mo</w:t>
            </w:r>
          </w:p>
        </w:tc>
      </w:tr>
      <w:tr>
        <w:tc>
          <w:tcPr>
            <w:tcW w:type="dxa" w:w="2400"/>
            <w:tcBorders>
              <w:top w:val="single" w:color="C4B5FD" w:sz="4"/>
              <w:left w:val="single" w:color="C4B5FD" w:sz="4"/>
              <w:bottom w:val="single" w:color="C4B5FD" w:sz="4"/>
              <w:right w:val="single" w:color="C4B5FD" w:sz="4"/>
            </w:tcBorders>
            <w:shd w:fill="EDE9FE" w:val="clear"/>
            <w:tcMar>
              <w:top w:type="dxa" w:w="100"/>
              <w:left w:type="dxa" w:w="140"/>
              <w:bottom w:type="dxa" w:w="100"/>
              <w:right w:type="dxa" w:w="140"/>
            </w:tcMar>
          </w:tcPr>
          <w:p>
            <w:r>
              <w:rPr>
                <w:rFonts w:ascii="Calibri" w:cs="Calibri" w:eastAsia="Calibri" w:hAnsi="Calibri"/>
                <w:b/>
                <w:bCs/>
                <w:color w:val="6D28D9"/>
                <w:sz w:val="19"/>
                <w:szCs w:val="19"/>
              </w:rPr>
              <w:t xml:space="preserve">Anastasia Sandu</w:t>
            </w:r>
          </w:p>
        </w:tc>
        <w:tc>
          <w:tcPr>
            <w:tcW w:type="dxa" w:w="2000"/>
            <w:tcBorders>
              <w:top w:val="single" w:color="C4B5FD" w:sz="4"/>
              <w:left w:val="single" w:color="C4B5FD" w:sz="4"/>
              <w:bottom w:val="single" w:color="C4B5FD" w:sz="4"/>
              <w:right w:val="single" w:color="C4B5FD" w:sz="4"/>
            </w:tcBorders>
            <w:shd w:fill="EDE9FE"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Frontend Dev &amp; UX Designer</w:t>
            </w:r>
          </w:p>
        </w:tc>
        <w:tc>
          <w:tcPr>
            <w:tcW w:type="dxa" w:w="3106"/>
            <w:tcBorders>
              <w:top w:val="single" w:color="C4B5FD" w:sz="4"/>
              <w:left w:val="single" w:color="C4B5FD" w:sz="4"/>
              <w:bottom w:val="single" w:color="C4B5FD" w:sz="4"/>
              <w:right w:val="single" w:color="C4B5FD" w:sz="4"/>
            </w:tcBorders>
            <w:shd w:fill="EDE9FE"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Landing page, MVP UI, Canvas graph, animations (GSAP/Three.js)</w:t>
            </w:r>
          </w:p>
        </w:tc>
        <w:tc>
          <w:tcPr>
            <w:tcW w:type="dxa" w:w="2000"/>
            <w:tcBorders>
              <w:top w:val="single" w:color="C4B5FD" w:sz="4"/>
              <w:left w:val="single" w:color="C4B5FD" w:sz="4"/>
              <w:bottom w:val="single" w:color="C4B5FD" w:sz="4"/>
              <w:right w:val="single" w:color="C4B5FD" w:sz="4"/>
            </w:tcBorders>
            <w:shd w:fill="EDE9FE"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100% — 160h / 2 mo</w:t>
            </w:r>
          </w:p>
        </w:tc>
      </w:tr>
      <w:tr>
        <w:tc>
          <w:tcPr>
            <w:tcW w:type="dxa" w:w="24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6D28D9"/>
                <w:sz w:val="19"/>
                <w:szCs w:val="19"/>
              </w:rPr>
              <w:t xml:space="preserve">Selena Hurloi</w:t>
            </w:r>
          </w:p>
        </w:tc>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Product Manager &amp; Analyst</w:t>
            </w:r>
          </w:p>
        </w:tc>
        <w:tc>
          <w:tcPr>
            <w:tcW w:type="dxa" w:w="31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Business foundation, market research, pitch deck, risk analysis</w:t>
            </w:r>
          </w:p>
        </w:tc>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80% — 128h / 2 mo</w:t>
            </w:r>
          </w:p>
        </w:tc>
      </w:tr>
    </w:tbl>
    <w:p>
      <w:pPr>
        <w:spacing w:after="60"/>
      </w:pPr>
      <w:r>
        <w:t xml:space="preserve"/>
      </w:r>
    </w:p>
    <w:p>
      <w:pPr>
        <w:pStyle w:val="Heading2"/>
        <w:spacing w:after="160" w:before="260"/>
      </w:pPr>
      <w:r>
        <w:rPr>
          <w:rFonts w:ascii="Calibri" w:cs="Calibri" w:eastAsia="Calibri" w:hAnsi="Calibri"/>
          <w:b/>
          <w:bCs/>
          <w:color w:val="0F172A"/>
          <w:sz w:val="30"/>
          <w:szCs w:val="30"/>
        </w:rPr>
        <w:t xml:space="preserve">4.2 Gantt Chart — 8-Week Sprint</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106"/>
        <w:gridCol w:w="800"/>
        <w:gridCol w:w="800"/>
        <w:gridCol w:w="800"/>
        <w:gridCol w:w="800"/>
        <w:gridCol w:w="800"/>
        <w:gridCol w:w="800"/>
        <w:gridCol w:w="800"/>
        <w:gridCol w:w="800"/>
      </w:tblGrid>
      <w:tr>
        <w:trPr>
          <w:tblHeader/>
        </w:trPr>
        <w:tc>
          <w:tcPr>
            <w:tcW w:type="dxa" w:w="3106"/>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Milestone / Task</w:t>
            </w:r>
          </w:p>
        </w:tc>
        <w:tc>
          <w:tcPr>
            <w:tcW w:type="dxa" w:w="8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W1</w:t>
            </w:r>
          </w:p>
        </w:tc>
        <w:tc>
          <w:tcPr>
            <w:tcW w:type="dxa" w:w="8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W2</w:t>
            </w:r>
          </w:p>
        </w:tc>
        <w:tc>
          <w:tcPr>
            <w:tcW w:type="dxa" w:w="8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W3</w:t>
            </w:r>
          </w:p>
        </w:tc>
        <w:tc>
          <w:tcPr>
            <w:tcW w:type="dxa" w:w="8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W4</w:t>
            </w:r>
          </w:p>
        </w:tc>
        <w:tc>
          <w:tcPr>
            <w:tcW w:type="dxa" w:w="8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W5</w:t>
            </w:r>
          </w:p>
        </w:tc>
        <w:tc>
          <w:tcPr>
            <w:tcW w:type="dxa" w:w="8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W6</w:t>
            </w:r>
          </w:p>
        </w:tc>
        <w:tc>
          <w:tcPr>
            <w:tcW w:type="dxa" w:w="8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W7</w:t>
            </w:r>
          </w:p>
        </w:tc>
        <w:tc>
          <w:tcPr>
            <w:tcW w:type="dxa" w:w="8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W8</w:t>
            </w:r>
          </w:p>
        </w:tc>
      </w:tr>
      <w:tr>
        <w:tc>
          <w:tcPr>
            <w:tcW w:type="dxa" w:w="31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color w:val="0F172A"/>
                <w:sz w:val="18"/>
                <w:szCs w:val="18"/>
              </w:rPr>
              <w:t xml:space="preserve">Business Foundation &amp; SWOT</w:t>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r>
      <w:tr>
        <w:tc>
          <w:tcPr>
            <w:tcW w:type="dxa" w:w="310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color w:val="0F172A"/>
                <w:sz w:val="18"/>
                <w:szCs w:val="18"/>
              </w:rPr>
              <w:t xml:space="preserve">Market Research &amp; Competitor Analysis</w:t>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r>
      <w:tr>
        <w:tc>
          <w:tcPr>
            <w:tcW w:type="dxa" w:w="31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color w:val="0F172A"/>
                <w:sz w:val="18"/>
                <w:szCs w:val="18"/>
              </w:rPr>
              <w:t xml:space="preserve">MVP Backend — Agent 1 (Paper Analyzer)</w:t>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r>
      <w:tr>
        <w:tc>
          <w:tcPr>
            <w:tcW w:type="dxa" w:w="310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color w:val="0F172A"/>
                <w:sz w:val="18"/>
                <w:szCs w:val="18"/>
              </w:rPr>
              <w:t xml:space="preserve">MVP Backend — Agent 2 (Synthesis Agent)</w:t>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r>
      <w:tr>
        <w:tc>
          <w:tcPr>
            <w:tcW w:type="dxa" w:w="31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color w:val="0F172A"/>
                <w:sz w:val="18"/>
                <w:szCs w:val="18"/>
              </w:rPr>
              <w:t xml:space="preserve">MVP Backend — Agent 3 (Paper Critic)</w:t>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r>
      <w:tr>
        <w:tc>
          <w:tcPr>
            <w:tcW w:type="dxa" w:w="310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color w:val="0F172A"/>
                <w:sz w:val="18"/>
                <w:szCs w:val="18"/>
              </w:rPr>
              <w:t xml:space="preserve">MVP Frontend — Knowledge Graph UI</w:t>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r>
      <w:tr>
        <w:tc>
          <w:tcPr>
            <w:tcW w:type="dxa" w:w="31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color w:val="0F172A"/>
                <w:sz w:val="18"/>
                <w:szCs w:val="18"/>
              </w:rPr>
              <w:t xml:space="preserve">MVP Frontend — Chat &amp; Synthesis Panels</w:t>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r>
      <w:tr>
        <w:tc>
          <w:tcPr>
            <w:tcW w:type="dxa" w:w="310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color w:val="0F172A"/>
                <w:sz w:val="18"/>
                <w:szCs w:val="18"/>
              </w:rPr>
              <w:t xml:space="preserve">Landing Page — Design &amp; Development</w:t>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r>
      <w:tr>
        <w:tc>
          <w:tcPr>
            <w:tcW w:type="dxa" w:w="31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color w:val="0F172A"/>
                <w:sz w:val="18"/>
                <w:szCs w:val="18"/>
              </w:rPr>
              <w:t xml:space="preserve">Integration Testing &amp; Bug Fixes</w:t>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r>
      <w:tr>
        <w:tc>
          <w:tcPr>
            <w:tcW w:type="dxa" w:w="310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color w:val="0F172A"/>
                <w:sz w:val="18"/>
                <w:szCs w:val="18"/>
              </w:rPr>
              <w:t xml:space="preserve">Pitch Deck &amp; Presentation Prep</w:t>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1F5F9"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r>
      <w:tr>
        <w:tc>
          <w:tcPr>
            <w:tcW w:type="dxa" w:w="31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color w:val="0F172A"/>
                <w:sz w:val="18"/>
                <w:szCs w:val="18"/>
              </w:rPr>
              <w:t xml:space="preserve">Final Polish, Deployment &amp; Presentation</w:t>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FFFFFF" w:val="clear"/>
            <w:tcMar>
              <w:top w:type="dxa" w:w="80"/>
              <w:left w:type="dxa" w:w="40"/>
              <w:bottom w:type="dxa" w:w="80"/>
              <w:right w:type="dxa" w:w="40"/>
            </w:tcMar>
          </w:tcPr>
          <w:p>
            <w:pPr>
              <w:jc w:val="center"/>
            </w:pPr>
            <w:r>
              <w:rPr>
                <w:rFonts w:ascii="Calibri" w:cs="Calibri" w:eastAsia="Calibri" w:hAnsi="Calibri"/>
                <w:color w:val="FFFFFF"/>
                <w:sz w:val="18"/>
                <w:szCs w:val="18"/>
              </w:rPr>
              <w:t xml:space="preserve"/>
            </w:r>
          </w:p>
        </w:tc>
        <w:tc>
          <w:tcPr>
            <w:tcW w:type="dxa" w:w="800"/>
            <w:tcBorders>
              <w:top w:val="single" w:color="C4B5FD" w:sz="4"/>
              <w:left w:val="single" w:color="C4B5FD" w:sz="4"/>
              <w:bottom w:val="single" w:color="C4B5FD" w:sz="4"/>
              <w:right w:val="single" w:color="C4B5FD" w:sz="4"/>
            </w:tcBorders>
            <w:shd w:fill="8B5CF6" w:val="clear"/>
            <w:tcMar>
              <w:top w:type="dxa" w:w="80"/>
              <w:left w:type="dxa" w:w="40"/>
              <w:bottom w:type="dxa" w:w="80"/>
              <w:right w:type="dxa" w:w="40"/>
            </w:tcMar>
          </w:tcPr>
          <w:p>
            <w:pPr>
              <w:jc w:val="center"/>
            </w:pPr>
            <w:r>
              <w:rPr>
                <w:rFonts w:ascii="Calibri" w:cs="Calibri" w:eastAsia="Calibri" w:hAnsi="Calibri"/>
                <w:color w:val="FFFFFF"/>
                <w:sz w:val="18"/>
                <w:szCs w:val="18"/>
              </w:rPr>
              <w:t xml:space="preserve">▓</w:t>
            </w:r>
          </w:p>
        </w:tc>
      </w:tr>
    </w:tbl>
    <w:p>
      <w:pPr>
        <w:spacing w:after="60"/>
      </w:pPr>
      <w:r>
        <w:t xml:space="preserve"/>
      </w:r>
    </w:p>
    <w:p>
      <w:pPr>
        <w:pStyle w:val="Heading1"/>
        <w:spacing w:after="160" w:before="440"/>
      </w:pPr>
      <w:r>
        <w:rPr>
          <w:rFonts w:ascii="Calibri" w:cs="Calibri" w:eastAsia="Calibri" w:hAnsi="Calibri"/>
          <w:b/>
          <w:bCs/>
          <w:color w:val="0F172A"/>
          <w:sz w:val="40"/>
          <w:szCs w:val="40"/>
        </w:rPr>
        <w:t xml:space="preserve">5. Costs &amp; Business Model</w:t>
      </w:r>
    </w:p>
    <w:p>
      <w:pPr>
        <w:pStyle w:val="Heading2"/>
        <w:spacing w:after="160" w:before="260"/>
      </w:pPr>
      <w:r>
        <w:rPr>
          <w:rFonts w:ascii="Calibri" w:cs="Calibri" w:eastAsia="Calibri" w:hAnsi="Calibri"/>
          <w:b/>
          <w:bCs/>
          <w:color w:val="0F172A"/>
          <w:sz w:val="30"/>
          <w:szCs w:val="30"/>
        </w:rPr>
        <w:t xml:space="preserve">5.1 Cost Breakdown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506"/>
        <w:gridCol w:w="2000"/>
        <w:gridCol w:w="2000"/>
        <w:gridCol w:w="2000"/>
      </w:tblGrid>
      <w:tr>
        <w:trPr>
          <w:tblHeader/>
        </w:trPr>
        <w:tc>
          <w:tcPr>
            <w:tcW w:type="dxa" w:w="3506"/>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Cost Category</w:t>
            </w:r>
          </w:p>
        </w:tc>
        <w:tc>
          <w:tcPr>
            <w:tcW w:type="dxa" w:w="20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MVP (2 months)</w:t>
            </w:r>
          </w:p>
        </w:tc>
        <w:tc>
          <w:tcPr>
            <w:tcW w:type="dxa" w:w="20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Year 1</w:t>
            </w:r>
          </w:p>
        </w:tc>
        <w:tc>
          <w:tcPr>
            <w:tcW w:type="dxa" w:w="20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Notes</w:t>
            </w:r>
          </w:p>
        </w:tc>
      </w:tr>
      <w:tr>
        <w:tc>
          <w:tcPr>
            <w:tcW w:type="dxa" w:w="35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0F172A"/>
                <w:sz w:val="19"/>
                <w:szCs w:val="19"/>
              </w:rPr>
              <w:t xml:space="preserve">Human capital (3 members × ~150h avg)</w:t>
            </w:r>
          </w:p>
        </w:tc>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€3,375</w:t>
            </w:r>
          </w:p>
        </w:tc>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6D28D9"/>
                <w:sz w:val="19"/>
                <w:szCs w:val="19"/>
              </w:rPr>
              <w:t xml:space="preserve">€40,500</w:t>
            </w:r>
          </w:p>
        </w:tc>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At €15/h student rate</w:t>
            </w:r>
          </w:p>
        </w:tc>
      </w:tr>
      <w:tr>
        <w:tc>
          <w:tcPr>
            <w:tcW w:type="dxa" w:w="350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0F172A"/>
                <w:sz w:val="19"/>
                <w:szCs w:val="19"/>
              </w:rPr>
              <w:t xml:space="preserve">Groq API (free tier → Pro at scale)</w:t>
            </w:r>
          </w:p>
        </w:tc>
        <w:tc>
          <w:tcPr>
            <w:tcW w:type="dxa" w:w="2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€0</w:t>
            </w:r>
          </w:p>
        </w:tc>
        <w:tc>
          <w:tcPr>
            <w:tcW w:type="dxa" w:w="2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6D28D9"/>
                <w:sz w:val="19"/>
                <w:szCs w:val="19"/>
              </w:rPr>
              <w:t xml:space="preserve">€1,200</w:t>
            </w:r>
          </w:p>
        </w:tc>
        <w:tc>
          <w:tcPr>
            <w:tcW w:type="dxa" w:w="2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Free up to 14,400 req/day</w:t>
            </w:r>
          </w:p>
        </w:tc>
      </w:tr>
      <w:tr>
        <w:tc>
          <w:tcPr>
            <w:tcW w:type="dxa" w:w="35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0F172A"/>
                <w:sz w:val="19"/>
                <w:szCs w:val="19"/>
              </w:rPr>
              <w:t xml:space="preserve">Cloud hosting (Railway free → VPS)</w:t>
            </w:r>
          </w:p>
        </w:tc>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€0</w:t>
            </w:r>
          </w:p>
        </w:tc>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6D28D9"/>
                <w:sz w:val="19"/>
                <w:szCs w:val="19"/>
              </w:rPr>
              <w:t xml:space="preserve">€240</w:t>
            </w:r>
          </w:p>
        </w:tc>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Free tier for MVP</w:t>
            </w:r>
          </w:p>
        </w:tc>
      </w:tr>
      <w:tr>
        <w:tc>
          <w:tcPr>
            <w:tcW w:type="dxa" w:w="350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0F172A"/>
                <w:sz w:val="19"/>
                <w:szCs w:val="19"/>
              </w:rPr>
              <w:t xml:space="preserve">Domain + SSL</w:t>
            </w:r>
          </w:p>
        </w:tc>
        <w:tc>
          <w:tcPr>
            <w:tcW w:type="dxa" w:w="2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€15</w:t>
            </w:r>
          </w:p>
        </w:tc>
        <w:tc>
          <w:tcPr>
            <w:tcW w:type="dxa" w:w="2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6D28D9"/>
                <w:sz w:val="19"/>
                <w:szCs w:val="19"/>
              </w:rPr>
              <w:t xml:space="preserve">€15</w:t>
            </w:r>
          </w:p>
        </w:tc>
        <w:tc>
          <w:tcPr>
            <w:tcW w:type="dxa" w:w="2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researchmind.ai or similar</w:t>
            </w:r>
          </w:p>
        </w:tc>
      </w:tr>
      <w:tr>
        <w:tc>
          <w:tcPr>
            <w:tcW w:type="dxa" w:w="35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0F172A"/>
                <w:sz w:val="19"/>
                <w:szCs w:val="19"/>
              </w:rPr>
              <w:t xml:space="preserve">Design tools &amp; licences</w:t>
            </w:r>
          </w:p>
        </w:tc>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€0</w:t>
            </w:r>
          </w:p>
        </w:tc>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6D28D9"/>
                <w:sz w:val="19"/>
                <w:szCs w:val="19"/>
              </w:rPr>
              <w:t xml:space="preserve">€240</w:t>
            </w:r>
          </w:p>
        </w:tc>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Figma free tier for MVP</w:t>
            </w:r>
          </w:p>
        </w:tc>
      </w:tr>
      <w:tr>
        <w:tc>
          <w:tcPr>
            <w:tcW w:type="dxa" w:w="350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0F172A"/>
                <w:sz w:val="19"/>
                <w:szCs w:val="19"/>
              </w:rPr>
              <w:t xml:space="preserve">Marketing (social + content)</w:t>
            </w:r>
          </w:p>
        </w:tc>
        <w:tc>
          <w:tcPr>
            <w:tcW w:type="dxa" w:w="2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€0</w:t>
            </w:r>
          </w:p>
        </w:tc>
        <w:tc>
          <w:tcPr>
            <w:tcW w:type="dxa" w:w="2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6D28D9"/>
                <w:sz w:val="19"/>
                <w:szCs w:val="19"/>
              </w:rPr>
              <w:t xml:space="preserve">€600</w:t>
            </w:r>
          </w:p>
        </w:tc>
        <w:tc>
          <w:tcPr>
            <w:tcW w:type="dxa" w:w="2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Organic growth in Year 0</w:t>
            </w:r>
          </w:p>
        </w:tc>
      </w:tr>
      <w:tr>
        <w:tc>
          <w:tcPr>
            <w:tcW w:type="dxa" w:w="35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0F172A"/>
                <w:sz w:val="19"/>
                <w:szCs w:val="19"/>
              </w:rPr>
              <w:t xml:space="preserve">Legal &amp; incorporation</w:t>
            </w:r>
          </w:p>
        </w:tc>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€0</w:t>
            </w:r>
          </w:p>
        </w:tc>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6D28D9"/>
                <w:sz w:val="19"/>
                <w:szCs w:val="19"/>
              </w:rPr>
              <w:t xml:space="preserve">€800</w:t>
            </w:r>
          </w:p>
        </w:tc>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Deferred to post-funding</w:t>
            </w:r>
          </w:p>
        </w:tc>
      </w:tr>
      <w:tr>
        <w:tc>
          <w:tcPr>
            <w:tcW w:type="dxa" w:w="3506"/>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pPr>
              <w:jc w:val="left"/>
            </w:pPr>
            <w:r>
              <w:rPr>
                <w:rFonts w:ascii="Calibri" w:cs="Calibri" w:eastAsia="Calibri" w:hAnsi="Calibri"/>
                <w:b/>
                <w:bCs/>
                <w:color w:val="FFFFFF"/>
                <w:sz w:val="20"/>
                <w:szCs w:val="20"/>
              </w:rPr>
              <w:t xml:space="preserve">Total</w:t>
            </w:r>
          </w:p>
        </w:tc>
        <w:tc>
          <w:tcPr>
            <w:tcW w:type="dxa" w:w="20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pPr>
              <w:jc w:val="left"/>
            </w:pPr>
            <w:r>
              <w:rPr>
                <w:rFonts w:ascii="Calibri" w:cs="Calibri" w:eastAsia="Calibri" w:hAnsi="Calibri"/>
                <w:b/>
                <w:bCs/>
                <w:color w:val="FFFFFF"/>
                <w:sz w:val="20"/>
                <w:szCs w:val="20"/>
              </w:rPr>
              <w:t xml:space="preserve">€3,390</w:t>
            </w:r>
          </w:p>
        </w:tc>
        <w:tc>
          <w:tcPr>
            <w:tcW w:type="dxa" w:w="20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pPr>
              <w:jc w:val="left"/>
            </w:pPr>
            <w:r>
              <w:rPr>
                <w:rFonts w:ascii="Calibri" w:cs="Calibri" w:eastAsia="Calibri" w:hAnsi="Calibri"/>
                <w:b/>
                <w:bCs/>
                <w:color w:val="FFFFFF"/>
                <w:sz w:val="20"/>
                <w:szCs w:val="20"/>
              </w:rPr>
              <w:t xml:space="preserve">€43,595</w:t>
            </w:r>
          </w:p>
        </w:tc>
        <w:tc>
          <w:tcPr>
            <w:tcW w:type="dxa" w:w="20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pPr>
              <w:jc w:val="left"/>
            </w:pPr>
            <w:r>
              <w:rPr>
                <w:rFonts w:ascii="Calibri" w:cs="Calibri" w:eastAsia="Calibri" w:hAnsi="Calibri"/>
                <w:color w:val="0F172A"/>
                <w:sz w:val="20"/>
                <w:szCs w:val="20"/>
              </w:rPr>
              <w:t xml:space="preserve"/>
            </w:r>
          </w:p>
        </w:tc>
      </w:tr>
    </w:tbl>
    <w:p>
      <w:pPr>
        <w:spacing w:after="60"/>
      </w:pPr>
      <w:r>
        <w:t xml:space="preserve"/>
      </w:r>
    </w:p>
    <w:p>
      <w:pPr>
        <w:pStyle w:val="Heading2"/>
        <w:spacing w:after="160" w:before="260"/>
      </w:pPr>
      <w:r>
        <w:rPr>
          <w:rFonts w:ascii="Calibri" w:cs="Calibri" w:eastAsia="Calibri" w:hAnsi="Calibri"/>
          <w:b/>
          <w:bCs/>
          <w:color w:val="0F172A"/>
          <w:sz w:val="30"/>
          <w:szCs w:val="30"/>
        </w:rPr>
        <w:t xml:space="preserve">5.2 Revenue Model &amp; Projections</w:t>
      </w:r>
    </w:p>
    <w:p>
      <w:pPr>
        <w:spacing w:after="140" w:line="276"/>
        <w:jc w:val="left"/>
      </w:pPr>
      <w:r>
        <w:rPr>
          <w:rFonts w:ascii="Calibri" w:cs="Calibri" w:eastAsia="Calibri" w:hAnsi="Calibri"/>
          <w:color w:val="334155"/>
          <w:sz w:val="22"/>
          <w:szCs w:val="22"/>
        </w:rPr>
        <w:t xml:space="preserve">ResearchMind uses a freemium SaaS model with four tiers. The free tier drives viral adoption in academic communities, converting 5–8% to paid within 90 days (industry benchmark). University licence deals represent the highest-value channel.</w:t>
      </w:r>
    </w:p>
    <w:p>
      <w:pPr>
        <w:spacing w:after="60"/>
      </w:pPr>
      <w:r>
        <w:t xml:space="preserve"/>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506"/>
        <w:gridCol w:w="1500"/>
        <w:gridCol w:w="1500"/>
        <w:gridCol w:w="1500"/>
        <w:gridCol w:w="2500"/>
      </w:tblGrid>
      <w:tr>
        <w:trPr>
          <w:tblHeader/>
        </w:trPr>
        <w:tc>
          <w:tcPr>
            <w:tcW w:type="dxa" w:w="2506"/>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Tier</w:t>
            </w:r>
          </w:p>
        </w:tc>
        <w:tc>
          <w:tcPr>
            <w:tcW w:type="dxa" w:w="15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Price/mo</w:t>
            </w:r>
          </w:p>
        </w:tc>
        <w:tc>
          <w:tcPr>
            <w:tcW w:type="dxa" w:w="15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Year 1 Users</w:t>
            </w:r>
          </w:p>
        </w:tc>
        <w:tc>
          <w:tcPr>
            <w:tcW w:type="dxa" w:w="15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MRR</w:t>
            </w:r>
          </w:p>
        </w:tc>
        <w:tc>
          <w:tcPr>
            <w:tcW w:type="dxa" w:w="25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ARR</w:t>
            </w:r>
          </w:p>
        </w:tc>
      </w:tr>
      <w:tr>
        <w:tc>
          <w:tcPr>
            <w:tcW w:type="dxa" w:w="25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0F172A"/>
                <w:sz w:val="19"/>
                <w:szCs w:val="19"/>
              </w:rPr>
              <w:t xml:space="preserve">Researcher (free)</w:t>
            </w:r>
          </w:p>
        </w:tc>
        <w:tc>
          <w:tcPr>
            <w:tcW w:type="dxa" w:w="15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€0</w:t>
            </w:r>
          </w:p>
        </w:tc>
        <w:tc>
          <w:tcPr>
            <w:tcW w:type="dxa" w:w="15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8,000</w:t>
            </w:r>
          </w:p>
        </w:tc>
        <w:tc>
          <w:tcPr>
            <w:tcW w:type="dxa" w:w="15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€0</w:t>
            </w:r>
          </w:p>
        </w:tc>
        <w:tc>
          <w:tcPr>
            <w:tcW w:type="dxa" w:w="25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59669"/>
                <w:sz w:val="19"/>
                <w:szCs w:val="19"/>
              </w:rPr>
              <w:t xml:space="preserve">€0</w:t>
            </w:r>
          </w:p>
        </w:tc>
      </w:tr>
      <w:tr>
        <w:tc>
          <w:tcPr>
            <w:tcW w:type="dxa" w:w="250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0F172A"/>
                <w:sz w:val="19"/>
                <w:szCs w:val="19"/>
              </w:rPr>
              <w:t xml:space="preserve">Scholar (individual)</w:t>
            </w:r>
          </w:p>
        </w:tc>
        <w:tc>
          <w:tcPr>
            <w:tcW w:type="dxa" w:w="15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€29</w:t>
            </w:r>
          </w:p>
        </w:tc>
        <w:tc>
          <w:tcPr>
            <w:tcW w:type="dxa" w:w="15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400</w:t>
            </w:r>
          </w:p>
        </w:tc>
        <w:tc>
          <w:tcPr>
            <w:tcW w:type="dxa" w:w="15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€11,600</w:t>
            </w:r>
          </w:p>
        </w:tc>
        <w:tc>
          <w:tcPr>
            <w:tcW w:type="dxa" w:w="25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59669"/>
                <w:sz w:val="19"/>
                <w:szCs w:val="19"/>
              </w:rPr>
              <w:t xml:space="preserve">€139,200</w:t>
            </w:r>
          </w:p>
        </w:tc>
      </w:tr>
      <w:tr>
        <w:tc>
          <w:tcPr>
            <w:tcW w:type="dxa" w:w="25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0F172A"/>
                <w:sz w:val="19"/>
                <w:szCs w:val="19"/>
              </w:rPr>
              <w:t xml:space="preserve">Lab (team of 10)</w:t>
            </w:r>
          </w:p>
        </w:tc>
        <w:tc>
          <w:tcPr>
            <w:tcW w:type="dxa" w:w="15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€99</w:t>
            </w:r>
          </w:p>
        </w:tc>
        <w:tc>
          <w:tcPr>
            <w:tcW w:type="dxa" w:w="15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50</w:t>
            </w:r>
          </w:p>
        </w:tc>
        <w:tc>
          <w:tcPr>
            <w:tcW w:type="dxa" w:w="15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€4,950</w:t>
            </w:r>
          </w:p>
        </w:tc>
        <w:tc>
          <w:tcPr>
            <w:tcW w:type="dxa" w:w="25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59669"/>
                <w:sz w:val="19"/>
                <w:szCs w:val="19"/>
              </w:rPr>
              <w:t xml:space="preserve">€59,400</w:t>
            </w:r>
          </w:p>
        </w:tc>
      </w:tr>
      <w:tr>
        <w:tc>
          <w:tcPr>
            <w:tcW w:type="dxa" w:w="250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0F172A"/>
                <w:sz w:val="19"/>
                <w:szCs w:val="19"/>
              </w:rPr>
              <w:t xml:space="preserve">University licence</w:t>
            </w:r>
          </w:p>
        </w:tc>
        <w:tc>
          <w:tcPr>
            <w:tcW w:type="dxa" w:w="15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€499</w:t>
            </w:r>
          </w:p>
        </w:tc>
        <w:tc>
          <w:tcPr>
            <w:tcW w:type="dxa" w:w="15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10</w:t>
            </w:r>
          </w:p>
        </w:tc>
        <w:tc>
          <w:tcPr>
            <w:tcW w:type="dxa" w:w="15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9"/>
                <w:szCs w:val="19"/>
              </w:rPr>
              <w:t xml:space="preserve">€4,990</w:t>
            </w:r>
          </w:p>
        </w:tc>
        <w:tc>
          <w:tcPr>
            <w:tcW w:type="dxa" w:w="25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59669"/>
                <w:sz w:val="19"/>
                <w:szCs w:val="19"/>
              </w:rPr>
              <w:t xml:space="preserve">€59,880</w:t>
            </w:r>
          </w:p>
        </w:tc>
      </w:tr>
      <w:tr>
        <w:tc>
          <w:tcPr>
            <w:tcW w:type="dxa" w:w="2506"/>
            <w:tcBorders>
              <w:top w:val="single" w:color="C4B5FD" w:sz="4"/>
              <w:left w:val="single" w:color="C4B5FD" w:sz="4"/>
              <w:bottom w:val="single" w:color="C4B5FD" w:sz="4"/>
              <w:right w:val="single" w:color="C4B5FD" w:sz="4"/>
            </w:tcBorders>
            <w:shd w:fill="059669" w:val="clear"/>
            <w:tcMar>
              <w:top w:type="dxa" w:w="100"/>
              <w:left w:type="dxa" w:w="140"/>
              <w:bottom w:type="dxa" w:w="100"/>
              <w:right w:type="dxa" w:w="140"/>
            </w:tcMar>
            <w:vAlign w:val="center"/>
          </w:tcPr>
          <w:p>
            <w:pPr>
              <w:jc w:val="left"/>
            </w:pPr>
            <w:r>
              <w:rPr>
                <w:rFonts w:ascii="Calibri" w:cs="Calibri" w:eastAsia="Calibri" w:hAnsi="Calibri"/>
                <w:b/>
                <w:bCs/>
                <w:color w:val="FFFFFF"/>
                <w:sz w:val="20"/>
                <w:szCs w:val="20"/>
              </w:rPr>
              <w:t xml:space="preserve">Total (end of Year 1)</w:t>
            </w:r>
          </w:p>
        </w:tc>
        <w:tc>
          <w:tcPr>
            <w:tcW w:type="dxa" w:w="1500"/>
            <w:tcBorders>
              <w:top w:val="single" w:color="C4B5FD" w:sz="4"/>
              <w:left w:val="single" w:color="C4B5FD" w:sz="4"/>
              <w:bottom w:val="single" w:color="C4B5FD" w:sz="4"/>
              <w:right w:val="single" w:color="C4B5FD" w:sz="4"/>
            </w:tcBorders>
            <w:shd w:fill="059669" w:val="clear"/>
            <w:tcMar>
              <w:top w:type="dxa" w:w="100"/>
              <w:left w:type="dxa" w:w="140"/>
              <w:bottom w:type="dxa" w:w="100"/>
              <w:right w:type="dxa" w:w="140"/>
            </w:tcMar>
            <w:vAlign w:val="center"/>
          </w:tcPr>
          <w:p>
            <w:pPr>
              <w:jc w:val="left"/>
            </w:pPr>
            <w:r>
              <w:rPr>
                <w:rFonts w:ascii="Calibri" w:cs="Calibri" w:eastAsia="Calibri" w:hAnsi="Calibri"/>
                <w:color w:val="0F172A"/>
                <w:sz w:val="20"/>
                <w:szCs w:val="20"/>
              </w:rPr>
              <w:t xml:space="preserve"/>
            </w:r>
          </w:p>
        </w:tc>
        <w:tc>
          <w:tcPr>
            <w:tcW w:type="dxa" w:w="1500"/>
            <w:tcBorders>
              <w:top w:val="single" w:color="C4B5FD" w:sz="4"/>
              <w:left w:val="single" w:color="C4B5FD" w:sz="4"/>
              <w:bottom w:val="single" w:color="C4B5FD" w:sz="4"/>
              <w:right w:val="single" w:color="C4B5FD" w:sz="4"/>
            </w:tcBorders>
            <w:shd w:fill="059669" w:val="clear"/>
            <w:tcMar>
              <w:top w:type="dxa" w:w="100"/>
              <w:left w:type="dxa" w:w="140"/>
              <w:bottom w:type="dxa" w:w="100"/>
              <w:right w:type="dxa" w:w="140"/>
            </w:tcMar>
            <w:vAlign w:val="center"/>
          </w:tcPr>
          <w:p>
            <w:pPr>
              <w:jc w:val="left"/>
            </w:pPr>
            <w:r>
              <w:rPr>
                <w:rFonts w:ascii="Calibri" w:cs="Calibri" w:eastAsia="Calibri" w:hAnsi="Calibri"/>
                <w:b/>
                <w:bCs/>
                <w:color w:val="FFFFFF"/>
                <w:sz w:val="20"/>
                <w:szCs w:val="20"/>
              </w:rPr>
              <w:t xml:space="preserve">8,460</w:t>
            </w:r>
          </w:p>
        </w:tc>
        <w:tc>
          <w:tcPr>
            <w:tcW w:type="dxa" w:w="1500"/>
            <w:tcBorders>
              <w:top w:val="single" w:color="C4B5FD" w:sz="4"/>
              <w:left w:val="single" w:color="C4B5FD" w:sz="4"/>
              <w:bottom w:val="single" w:color="C4B5FD" w:sz="4"/>
              <w:right w:val="single" w:color="C4B5FD" w:sz="4"/>
            </w:tcBorders>
            <w:shd w:fill="059669" w:val="clear"/>
            <w:tcMar>
              <w:top w:type="dxa" w:w="100"/>
              <w:left w:type="dxa" w:w="140"/>
              <w:bottom w:type="dxa" w:w="100"/>
              <w:right w:type="dxa" w:w="140"/>
            </w:tcMar>
            <w:vAlign w:val="center"/>
          </w:tcPr>
          <w:p>
            <w:pPr>
              <w:jc w:val="left"/>
            </w:pPr>
            <w:r>
              <w:rPr>
                <w:rFonts w:ascii="Calibri" w:cs="Calibri" w:eastAsia="Calibri" w:hAnsi="Calibri"/>
                <w:b/>
                <w:bCs/>
                <w:color w:val="FFFFFF"/>
                <w:sz w:val="20"/>
                <w:szCs w:val="20"/>
              </w:rPr>
              <w:t xml:space="preserve">€21,540</w:t>
            </w:r>
          </w:p>
        </w:tc>
        <w:tc>
          <w:tcPr>
            <w:tcW w:type="dxa" w:w="2500"/>
            <w:tcBorders>
              <w:top w:val="single" w:color="C4B5FD" w:sz="4"/>
              <w:left w:val="single" w:color="C4B5FD" w:sz="4"/>
              <w:bottom w:val="single" w:color="C4B5FD" w:sz="4"/>
              <w:right w:val="single" w:color="C4B5FD" w:sz="4"/>
            </w:tcBorders>
            <w:shd w:fill="059669" w:val="clear"/>
            <w:tcMar>
              <w:top w:type="dxa" w:w="100"/>
              <w:left w:type="dxa" w:w="140"/>
              <w:bottom w:type="dxa" w:w="100"/>
              <w:right w:type="dxa" w:w="140"/>
            </w:tcMar>
            <w:vAlign w:val="center"/>
          </w:tcPr>
          <w:p>
            <w:pPr>
              <w:jc w:val="left"/>
            </w:pPr>
            <w:r>
              <w:rPr>
                <w:rFonts w:ascii="Calibri" w:cs="Calibri" w:eastAsia="Calibri" w:hAnsi="Calibri"/>
                <w:b/>
                <w:bCs/>
                <w:color w:val="FFFFFF"/>
                <w:sz w:val="20"/>
                <w:szCs w:val="20"/>
              </w:rPr>
              <w:t xml:space="preserve">€258,480</w:t>
            </w:r>
          </w:p>
        </w:tc>
      </w:tr>
    </w:tbl>
    <w:p>
      <w:pPr>
        <w:spacing w:after="60"/>
      </w:pPr>
      <w:r>
        <w:t xml:space="preserve"/>
      </w:r>
    </w:p>
    <w:p>
      <w:pPr>
        <w:pStyle w:val="Heading2"/>
        <w:spacing w:after="160" w:before="260"/>
      </w:pPr>
      <w:r>
        <w:rPr>
          <w:rFonts w:ascii="Calibri" w:cs="Calibri" w:eastAsia="Calibri" w:hAnsi="Calibri"/>
          <w:b/>
          <w:bCs/>
          <w:color w:val="0F172A"/>
          <w:sz w:val="30"/>
          <w:szCs w:val="30"/>
        </w:rPr>
        <w:t xml:space="preserve">5.3 Cost/Benefit Analysis (ROI &amp; Payback Period)</w:t>
      </w:r>
    </w:p>
    <w:p>
      <w:pPr>
        <w:spacing w:after="140" w:line="276"/>
        <w:jc w:val="left"/>
      </w:pPr>
      <w:r>
        <w:rPr>
          <w:rFonts w:ascii="Calibri" w:cs="Calibri" w:eastAsia="Calibri" w:hAnsi="Calibri"/>
          <w:color w:val="334155"/>
          <w:sz w:val="22"/>
          <w:szCs w:val="22"/>
        </w:rPr>
        <w:t xml:space="preserve">Total 2-year investment: approximately €90,000 (Year 1: €43,595 + Year 2 growth costs: €46,405). Projected Year 2 ARR: approximately €780,000 (3× growth from Year 1 — consistent with SaaS benchmarks for academic tools with strong network effects). Return on Investment (ROI) at end of Year 2: approximately 767%. Payback period: approximately 8 months after product launch. Break-even point: approximately 620 paid subscribers at average €35/month ARPU.</w:t>
      </w:r>
    </w:p>
    <w:p>
      <w:pPr>
        <w:spacing w:after="60"/>
      </w:pPr>
      <w:r>
        <w:t xml:space="preserve"/>
      </w:r>
    </w:p>
    <w:p>
      <w:pPr>
        <w:pStyle w:val="Heading1"/>
        <w:spacing w:after="160" w:before="440"/>
      </w:pPr>
      <w:r>
        <w:rPr>
          <w:rFonts w:ascii="Calibri" w:cs="Calibri" w:eastAsia="Calibri" w:hAnsi="Calibri"/>
          <w:b/>
          <w:bCs/>
          <w:color w:val="0F172A"/>
          <w:sz w:val="40"/>
          <w:szCs w:val="40"/>
        </w:rPr>
        <w:t xml:space="preserve">6. One-Page Summary — Lean Canvas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168"/>
        <w:gridCol w:w="3170"/>
        <w:gridCol w:w="3168"/>
      </w:tblGrid>
      <w:tr>
        <w:tc>
          <w:tcPr>
            <w:tcW w:type="dxa" w:w="3168"/>
            <w:tcBorders>
              <w:top w:val="single" w:color="C4B5FD" w:sz="4"/>
              <w:left w:val="single" w:color="C4B5FD" w:sz="4"/>
              <w:bottom w:val="single" w:color="C4B5FD" w:sz="4"/>
              <w:right w:val="single" w:color="C4B5FD" w:sz="4"/>
            </w:tcBorders>
            <w:shd w:fill="FEF3C7" w:val="clear"/>
            <w:tcMar>
              <w:top w:type="dxa" w:w="100"/>
              <w:left w:type="dxa" w:w="140"/>
              <w:bottom w:type="dxa" w:w="100"/>
              <w:right w:type="dxa" w:w="140"/>
            </w:tcMar>
          </w:tcPr>
          <w:p>
            <w:r>
              <w:rPr>
                <w:rFonts w:ascii="Calibri" w:cs="Calibri" w:eastAsia="Calibri" w:hAnsi="Calibri"/>
                <w:b/>
                <w:bCs/>
                <w:color w:val="D97706"/>
                <w:sz w:val="20"/>
                <w:szCs w:val="20"/>
              </w:rPr>
              <w:t xml:space="preserve">PROBLEM</w:t>
            </w:r>
          </w:p>
          <w:p>
            <w:pPr>
              <w:spacing w:after="40"/>
            </w:pPr>
            <w:r>
              <w:rPr>
                <w:rFonts w:ascii="Calibri" w:cs="Calibri" w:eastAsia="Calibri" w:hAnsi="Calibri"/>
                <w:color w:val="0F172A"/>
                <w:sz w:val="18"/>
                <w:szCs w:val="18"/>
              </w:rPr>
              <w:t xml:space="preserve">Researchers waste 6h/week searching, reading, and connecting papers manually. No tool builds a living AI knowledge graph with automated quality critique.</w:t>
            </w:r>
          </w:p>
        </w:tc>
        <w:tc>
          <w:tcPr>
            <w:tcW w:type="dxa" w:w="3170"/>
            <w:tcBorders>
              <w:top w:val="single" w:color="C4B5FD" w:sz="4"/>
              <w:left w:val="single" w:color="C4B5FD" w:sz="4"/>
              <w:bottom w:val="single" w:color="C4B5FD" w:sz="4"/>
              <w:right w:val="single" w:color="C4B5FD" w:sz="4"/>
            </w:tcBorders>
            <w:shd w:fill="EDE9FE" w:val="clear"/>
            <w:tcMar>
              <w:top w:type="dxa" w:w="100"/>
              <w:left w:type="dxa" w:w="140"/>
              <w:bottom w:type="dxa" w:w="100"/>
              <w:right w:type="dxa" w:w="140"/>
            </w:tcMar>
          </w:tcPr>
          <w:p>
            <w:r>
              <w:rPr>
                <w:rFonts w:ascii="Calibri" w:cs="Calibri" w:eastAsia="Calibri" w:hAnsi="Calibri"/>
                <w:b/>
                <w:bCs/>
                <w:color w:val="6D28D9"/>
                <w:sz w:val="20"/>
                <w:szCs w:val="20"/>
              </w:rPr>
              <w:t xml:space="preserve">SOLUTION</w:t>
            </w:r>
          </w:p>
          <w:p>
            <w:pPr>
              <w:spacing w:after="40"/>
            </w:pPr>
            <w:r>
              <w:rPr>
                <w:rFonts w:ascii="Calibri" w:cs="Calibri" w:eastAsia="Calibri" w:hAnsi="Calibri"/>
                <w:color w:val="0F172A"/>
                <w:sz w:val="18"/>
                <w:szCs w:val="18"/>
              </w:rPr>
              <w:t xml:space="preserve">Three AI agents: (1) analyse any paper in 10 sec; (2) synthesise library and generate hypotheses; (3) critique paper quality and flag weaknesses.</w:t>
            </w:r>
          </w:p>
        </w:tc>
        <w:tc>
          <w:tcPr>
            <w:tcW w:type="dxa" w:w="3168"/>
            <w:tcBorders>
              <w:top w:val="single" w:color="C4B5FD" w:sz="4"/>
              <w:left w:val="single" w:color="C4B5FD" w:sz="4"/>
              <w:bottom w:val="single" w:color="C4B5FD" w:sz="4"/>
              <w:right w:val="single" w:color="C4B5FD" w:sz="4"/>
            </w:tcBorders>
            <w:shd w:fill="CFFAFE" w:val="clear"/>
            <w:tcMar>
              <w:top w:type="dxa" w:w="100"/>
              <w:left w:type="dxa" w:w="140"/>
              <w:bottom w:type="dxa" w:w="100"/>
              <w:right w:type="dxa" w:w="140"/>
            </w:tcMar>
          </w:tcPr>
          <w:p>
            <w:r>
              <w:rPr>
                <w:rFonts w:ascii="Calibri" w:cs="Calibri" w:eastAsia="Calibri" w:hAnsi="Calibri"/>
                <w:b/>
                <w:bCs/>
                <w:color w:val="0E7490"/>
                <w:sz w:val="20"/>
                <w:szCs w:val="20"/>
              </w:rPr>
              <w:t xml:space="preserve">UNIQUE VALUE PROPOSITION</w:t>
            </w:r>
          </w:p>
          <w:p>
            <w:pPr>
              <w:spacing w:after="40"/>
            </w:pPr>
            <w:r>
              <w:rPr>
                <w:rFonts w:ascii="Calibri" w:cs="Calibri" w:eastAsia="Calibri" w:hAnsi="Calibri"/>
                <w:color w:val="0F172A"/>
                <w:sz w:val="18"/>
                <w:szCs w:val="18"/>
              </w:rPr>
              <w:t xml:space="preserve">The only tool that turns your paper library into an AI knowledge graph with multi-agent synthesis, hypothesis generation, AND quality critique.</w:t>
            </w:r>
          </w:p>
        </w:tc>
      </w:tr>
      <w:tr>
        <w:tc>
          <w:tcPr>
            <w:tcW w:type="dxa" w:w="3168"/>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334155"/>
                <w:sz w:val="20"/>
                <w:szCs w:val="20"/>
              </w:rPr>
              <w:t xml:space="preserve">CUSTOMER SEGMENTS</w:t>
            </w:r>
          </w:p>
          <w:p>
            <w:pPr>
              <w:spacing w:after="40"/>
            </w:pPr>
            <w:r>
              <w:rPr>
                <w:rFonts w:ascii="Calibri" w:cs="Calibri" w:eastAsia="Calibri" w:hAnsi="Calibri"/>
                <w:color w:val="0F172A"/>
                <w:sz w:val="18"/>
                <w:szCs w:val="18"/>
              </w:rPr>
              <w:t xml:space="preserve">Primary: PhD students &amp; postdocs. Secondary: Academic labs &amp; institutes. Tertiary: R&amp;D in pharma &amp; tech.</w:t>
            </w:r>
          </w:p>
        </w:tc>
        <w:tc>
          <w:tcPr>
            <w:tcW w:type="dxa" w:w="317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334155"/>
                <w:sz w:val="20"/>
                <w:szCs w:val="20"/>
              </w:rPr>
              <w:t xml:space="preserve">CHANNELS</w:t>
            </w:r>
          </w:p>
          <w:p>
            <w:pPr>
              <w:spacing w:after="40"/>
            </w:pPr>
            <w:r>
              <w:rPr>
                <w:rFonts w:ascii="Calibri" w:cs="Calibri" w:eastAsia="Calibri" w:hAnsi="Calibri"/>
                <w:color w:val="0F172A"/>
                <w:sz w:val="18"/>
                <w:szCs w:val="18"/>
              </w:rPr>
              <w:t xml:space="preserve">Academia Twitter/X · ArXiv community · University partnerships · ProductHunt launch · Research lab pilots</w:t>
            </w:r>
          </w:p>
        </w:tc>
        <w:tc>
          <w:tcPr>
            <w:tcW w:type="dxa" w:w="3168"/>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334155"/>
                <w:sz w:val="20"/>
                <w:szCs w:val="20"/>
              </w:rPr>
              <w:t xml:space="preserve">UNFAIR ADVANTAGE</w:t>
            </w:r>
          </w:p>
          <w:p>
            <w:pPr>
              <w:spacing w:after="40"/>
            </w:pPr>
            <w:r>
              <w:rPr>
                <w:rFonts w:ascii="Calibri" w:cs="Calibri" w:eastAsia="Calibri" w:hAnsi="Calibri"/>
                <w:color w:val="0F172A"/>
                <w:sz w:val="18"/>
                <w:szCs w:val="18"/>
              </w:rPr>
              <w:t xml:space="preserve">Groq-powered inference (700 tok/s, free); open-source LLaMA 3.1; 3-agent architecture no competitor has; academic team with research domain expertise.</w:t>
            </w:r>
          </w:p>
        </w:tc>
      </w:tr>
      <w:tr>
        <w:tc>
          <w:tcPr>
            <w:tcW w:type="dxa" w:w="3168"/>
            <w:gridSpan w:val="2"/>
            <w:tcBorders>
              <w:top w:val="single" w:color="C4B5FD" w:sz="4"/>
              <w:left w:val="single" w:color="C4B5FD" w:sz="4"/>
              <w:bottom w:val="single" w:color="C4B5FD" w:sz="4"/>
              <w:right w:val="single" w:color="C4B5FD" w:sz="4"/>
            </w:tcBorders>
            <w:shd w:fill="FEF2F2" w:val="clear"/>
            <w:tcMar>
              <w:top w:type="dxa" w:w="100"/>
              <w:left w:type="dxa" w:w="140"/>
              <w:bottom w:type="dxa" w:w="100"/>
              <w:right w:type="dxa" w:w="140"/>
            </w:tcMar>
          </w:tcPr>
          <w:p>
            <w:r>
              <w:rPr>
                <w:rFonts w:ascii="Calibri" w:cs="Calibri" w:eastAsia="Calibri" w:hAnsi="Calibri"/>
                <w:b/>
                <w:bCs/>
                <w:color w:val="DC2626"/>
                <w:sz w:val="20"/>
                <w:szCs w:val="20"/>
              </w:rPr>
              <w:t xml:space="preserve">COST STRUCTURE</w:t>
            </w:r>
          </w:p>
          <w:p>
            <w:pPr>
              <w:spacing w:after="40"/>
            </w:pPr>
            <w:r>
              <w:rPr>
                <w:rFonts w:ascii="Calibri" w:cs="Calibri" w:eastAsia="Calibri" w:hAnsi="Calibri"/>
                <w:color w:val="0F172A"/>
                <w:sz w:val="18"/>
                <w:szCs w:val="18"/>
              </w:rPr>
              <w:t xml:space="preserve">MVP (2 months): €3,390 (human capital €3,375 + domain €15) | Year 1: ~€43,595 | Break-even: Month 8 at 620+ paid subscribers</w:t>
            </w:r>
          </w:p>
        </w:tc>
        <w:tc>
          <w:tcPr>
            <w:tcW w:type="dxa" w:w="3168"/>
            <w:tcBorders>
              <w:top w:val="single" w:color="C4B5FD" w:sz="4"/>
              <w:left w:val="single" w:color="C4B5FD" w:sz="4"/>
              <w:bottom w:val="single" w:color="C4B5FD" w:sz="4"/>
              <w:right w:val="single" w:color="C4B5FD" w:sz="4"/>
            </w:tcBorders>
            <w:shd w:fill="F0FDF4" w:val="clear"/>
            <w:tcMar>
              <w:top w:type="dxa" w:w="100"/>
              <w:left w:type="dxa" w:w="140"/>
              <w:bottom w:type="dxa" w:w="100"/>
              <w:right w:type="dxa" w:w="140"/>
            </w:tcMar>
          </w:tcPr>
          <w:p>
            <w:r>
              <w:rPr>
                <w:rFonts w:ascii="Calibri" w:cs="Calibri" w:eastAsia="Calibri" w:hAnsi="Calibri"/>
                <w:b/>
                <w:bCs/>
                <w:color w:val="059669"/>
                <w:sz w:val="20"/>
                <w:szCs w:val="20"/>
              </w:rPr>
              <w:t xml:space="preserve">REVENUE STREAMS</w:t>
            </w:r>
          </w:p>
          <w:p>
            <w:pPr>
              <w:spacing w:after="40"/>
            </w:pPr>
            <w:r>
              <w:rPr>
                <w:rFonts w:ascii="Calibri" w:cs="Calibri" w:eastAsia="Calibri" w:hAnsi="Calibri"/>
                <w:color w:val="0F172A"/>
                <w:sz w:val="18"/>
                <w:szCs w:val="18"/>
              </w:rPr>
              <w:t xml:space="preserve">Freemium SaaS: Free (€0) | Scholar (€29/mo) | Lab (€99/mo) | University licence (€499/mo) | Target ARR Year 1: €258,480</w:t>
            </w:r>
          </w:p>
        </w:tc>
      </w:tr>
    </w:tbl>
    <w:p>
      <w:pPr>
        <w:spacing w:after="60"/>
      </w:pPr>
      <w:r>
        <w:t xml:space="preserve"/>
      </w:r>
    </w:p>
    <w:p>
      <w:pPr>
        <w:pStyle w:val="Heading1"/>
        <w:spacing w:after="160" w:before="440"/>
      </w:pPr>
      <w:r>
        <w:rPr>
          <w:rFonts w:ascii="Calibri" w:cs="Calibri" w:eastAsia="Calibri" w:hAnsi="Calibri"/>
          <w:b/>
          <w:bCs/>
          <w:color w:val="0F172A"/>
          <w:sz w:val="40"/>
          <w:szCs w:val="40"/>
        </w:rPr>
        <w:t xml:space="preserve">7. AI Usage Disclosure</w:t>
      </w:r>
    </w:p>
    <w:p>
      <w:pPr>
        <w:spacing w:after="140" w:line="276"/>
        <w:jc w:val="left"/>
      </w:pPr>
      <w:r>
        <w:rPr>
          <w:rFonts w:ascii="Calibri" w:cs="Calibri" w:eastAsia="Calibri" w:hAnsi="Calibri"/>
          <w:color w:val="334155"/>
          <w:sz w:val="22"/>
          <w:szCs w:val="22"/>
        </w:rPr>
        <w:t xml:space="preserve">In accordance with MPA 2026 guidelines, the following AI tools were used in the creation of this project:</w:t>
      </w:r>
    </w:p>
    <w:p>
      <w:pPr>
        <w:spacing w:after="60"/>
      </w:pPr>
      <w:r>
        <w:t xml:space="preserve"/>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000"/>
        <w:gridCol w:w="3506"/>
        <w:gridCol w:w="4000"/>
      </w:tblGrid>
      <w:tr>
        <w:trPr>
          <w:tblHeader/>
        </w:trPr>
        <w:tc>
          <w:tcPr>
            <w:tcW w:type="dxa" w:w="20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Tool</w:t>
            </w:r>
          </w:p>
        </w:tc>
        <w:tc>
          <w:tcPr>
            <w:tcW w:type="dxa" w:w="3506"/>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Usage</w:t>
            </w:r>
          </w:p>
        </w:tc>
        <w:tc>
          <w:tcPr>
            <w:tcW w:type="dxa" w:w="4000"/>
            <w:tcBorders>
              <w:top w:val="single" w:color="C4B5FD" w:sz="4"/>
              <w:left w:val="single" w:color="C4B5FD" w:sz="4"/>
              <w:bottom w:val="single" w:color="C4B5FD" w:sz="4"/>
              <w:right w:val="single" w:color="C4B5FD" w:sz="4"/>
            </w:tcBorders>
            <w:shd w:fill="6D28D9"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Example Prompt / Command</w:t>
            </w:r>
          </w:p>
        </w:tc>
      </w:tr>
      <w:tr>
        <w:tc>
          <w:tcPr>
            <w:tcW w:type="dxa" w:w="2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bCs/>
                <w:color w:val="6D28D9"/>
                <w:sz w:val="18"/>
                <w:szCs w:val="18"/>
              </w:rPr>
              <w:t xml:space="preserve">Claude (Anthropic)</w:t>
            </w:r>
          </w:p>
        </w:tc>
        <w:tc>
          <w:tcPr>
            <w:tcW w:type="dxa" w:w="3506"/>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8"/>
                <w:szCs w:val="18"/>
              </w:rPr>
              <w:t xml:space="preserve">Full project generation: landing page, MVP code, business document, pitch deck</w:t>
            </w:r>
          </w:p>
        </w:tc>
        <w:tc>
          <w:tcPr>
            <w:tcW w:type="dxa" w:w="4000"/>
            <w:tcBorders>
              <w:top w:val="single" w:color="C4B5FD" w:sz="4"/>
              <w:left w:val="single" w:color="C4B5FD" w:sz="4"/>
              <w:bottom w:val="single" w:color="C4B5FD" w:sz="4"/>
              <w:right w:val="single" w:color="C4B5FD" w:sz="4"/>
            </w:tcBorders>
            <w:shd w:fill="FFFFFF" w:val="clear"/>
            <w:tcMar>
              <w:top w:type="dxa" w:w="100"/>
              <w:left w:type="dxa" w:w="140"/>
              <w:bottom w:type="dxa" w:w="100"/>
              <w:right w:type="dxa" w:w="140"/>
            </w:tcMar>
          </w:tcPr>
          <w:p>
            <w:r>
              <w:rPr>
                <w:rFonts w:ascii="Calibri" w:cs="Calibri" w:eastAsia="Calibri" w:hAnsi="Calibri"/>
                <w:b w:val="false"/>
                <w:bCs w:val="false"/>
                <w:color w:val="0F172A"/>
                <w:sz w:val="18"/>
                <w:szCs w:val="18"/>
              </w:rPr>
              <w:t xml:space="preserve">"Read the MPA 2026 requirements and build a full startup project with latest libraries, animations, and free AI. Rename to ResearchMind."</w:t>
            </w:r>
          </w:p>
        </w:tc>
      </w:tr>
      <w:tr>
        <w:tc>
          <w:tcPr>
            <w:tcW w:type="dxa" w:w="2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bCs/>
                <w:color w:val="6D28D9"/>
                <w:sz w:val="18"/>
                <w:szCs w:val="18"/>
              </w:rPr>
              <w:t xml:space="preserve">Groq + LLaMA 3.1</w:t>
            </w:r>
          </w:p>
        </w:tc>
        <w:tc>
          <w:tcPr>
            <w:tcW w:type="dxa" w:w="3506"/>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8"/>
                <w:szCs w:val="18"/>
              </w:rPr>
              <w:t xml:space="preserve">MVP runtime AI: Agent 1 (paper analysis), Agent 2 (synthesis), Agent 3 (critic)</w:t>
            </w:r>
          </w:p>
        </w:tc>
        <w:tc>
          <w:tcPr>
            <w:tcW w:type="dxa" w:w="4000"/>
            <w:tcBorders>
              <w:top w:val="single" w:color="C4B5FD" w:sz="4"/>
              <w:left w:val="single" w:color="C4B5FD" w:sz="4"/>
              <w:bottom w:val="single" w:color="C4B5FD" w:sz="4"/>
              <w:right w:val="single" w:color="C4B5FD" w:sz="4"/>
            </w:tcBorders>
            <w:shd w:fill="F1F5F9" w:val="clear"/>
            <w:tcMar>
              <w:top w:type="dxa" w:w="100"/>
              <w:left w:type="dxa" w:w="140"/>
              <w:bottom w:type="dxa" w:w="100"/>
              <w:right w:type="dxa" w:w="140"/>
            </w:tcMar>
          </w:tcPr>
          <w:p>
            <w:r>
              <w:rPr>
                <w:rFonts w:ascii="Calibri" w:cs="Calibri" w:eastAsia="Calibri" w:hAnsi="Calibri"/>
                <w:b w:val="false"/>
                <w:bCs w:val="false"/>
                <w:color w:val="0F172A"/>
                <w:sz w:val="18"/>
                <w:szCs w:val="18"/>
              </w:rPr>
              <w:t xml:space="preserve">"You are the Paper Analyzer Agent. Extract structured knowledge from this paper as JSON..."</w:t>
            </w:r>
          </w:p>
        </w:tc>
      </w:tr>
    </w:tbl>
    <w:p>
      <w:pPr>
        <w:spacing w:after="60"/>
      </w:pPr>
      <w:r>
        <w:t xml:space="preserve"/>
      </w:r>
    </w:p>
    <w:p>
      <w:pPr>
        <w:pBdr>
          <w:bottom w:val="single" w:color="8B5CF6" w:sz="6" w:space="1"/>
        </w:pBdr>
        <w:spacing w:after="160" w:before="160"/>
      </w:pPr>
      <w:r>
        <w:t xml:space="preserve"/>
      </w:r>
    </w:p>
    <w:p>
      <w:pPr>
        <w:spacing w:after="60" w:before="120"/>
        <w:jc w:val="center"/>
      </w:pPr>
      <w:r>
        <w:rPr>
          <w:rFonts w:ascii="Calibri" w:cs="Calibri" w:eastAsia="Calibri" w:hAnsi="Calibri"/>
          <w:b/>
          <w:bCs/>
          <w:color w:val="6D28D9"/>
          <w:sz w:val="22"/>
          <w:szCs w:val="22"/>
        </w:rPr>
        <w:t xml:space="preserve">ResearchMind AI, SRL</w:t>
      </w:r>
      <w:r>
        <w:rPr>
          <w:rFonts w:ascii="Calibri" w:cs="Calibri" w:eastAsia="Calibri" w:hAnsi="Calibri"/>
          <w:color w:val="94A3B8"/>
          <w:sz w:val="22"/>
          <w:szCs w:val="22"/>
        </w:rPr>
        <w:t xml:space="preserve">  ·  researchmind.ai  ·  hello@researchmind.ai</w:t>
      </w: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space="1"/>
      </w:pBdr>
      <w:tabs>
        <w:tab w:val="right" w:pos="9026"/>
      </w:tabs>
      <w:spacing w:before="80"/>
    </w:pPr>
    <w:r>
      <w:rPr>
        <w:rFonts w:ascii="Calibri" w:cs="Calibri" w:eastAsia="Calibri" w:hAnsi="Calibri"/>
        <w:color w:val="94A3B8"/>
        <w:sz w:val="16"/>
        <w:szCs w:val="16"/>
      </w:rPr>
      <w:t xml:space="preserve">© 2026 ResearchMind AI, SRL  ·  Confidential</w:t>
    </w:r>
    <w:r>
      <w:rPr>
        <w:rFonts w:ascii="Calibri" w:cs="Calibri" w:eastAsia="Calibri" w:hAnsi="Calibri"/>
        <w:color w:val="94A3B8"/>
        <w:sz w:val="16"/>
        <w:szCs w:val="16"/>
      </w:rPr>
      <w:t xml:space="preserve">	</w:t>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4B5FD" w:sz="6" w:space="1"/>
      </w:pBdr>
      <w:spacing w:after="0"/>
    </w:pPr>
    <w:r>
      <w:rPr>
        <w:rFonts w:ascii="Calibri" w:cs="Calibri" w:eastAsia="Calibri" w:hAnsi="Calibri"/>
        <w:b/>
        <w:bCs/>
        <w:color w:val="6D28D9"/>
        <w:sz w:val="18"/>
        <w:szCs w:val="18"/>
      </w:rPr>
      <w:t xml:space="preserve">ResearchMind  </w:t>
    </w:r>
    <w:r>
      <w:rPr>
        <w:rFonts w:ascii="Calibri" w:cs="Calibri" w:eastAsia="Calibri" w:hAnsi="Calibri"/>
        <w:color w:val="94A3B8"/>
        <w:sz w:val="18"/>
        <w:szCs w:val="18"/>
      </w:rPr>
      <w:t xml:space="preserve">|  AI Research Intelligence Platform  |  MPA 2026  |  Business Foundation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40"/>
      <w:outlineLvl w:val="0"/>
    </w:pPr>
    <w:rPr>
      <w:rFonts w:ascii="Calibri" w:cs="Calibri" w:eastAsia="Calibri" w:hAnsi="Calibri"/>
      <w:b/>
      <w:bCs/>
      <w:color w:val="6D28D9"/>
      <w:sz w:val="40"/>
      <w:szCs w:val="40"/>
    </w:rPr>
  </w:style>
  <w:style w:type="paragraph" w:styleId="Heading2">
    <w:name w:val="Heading 2"/>
    <w:basedOn w:val="Normal"/>
    <w:next w:val="Normal"/>
    <w:qFormat/>
    <w:pPr>
      <w:spacing w:after="120" w:before="260"/>
      <w:outlineLvl w:val="1"/>
    </w:pPr>
    <w:rPr>
      <w:rFonts w:ascii="Calibri" w:cs="Calibri" w:eastAsia="Calibri" w:hAnsi="Calibri"/>
      <w:b/>
      <w:bCs/>
      <w:color w:val="6D28D9"/>
      <w:sz w:val="30"/>
      <w:szCs w:val="30"/>
    </w:rPr>
  </w:style>
  <w:style w:type="paragraph" w:styleId="Heading3">
    <w:name w:val="Heading 3"/>
    <w:basedOn w:val="Normal"/>
    <w:next w:val="Normal"/>
    <w:qFormat/>
    <w:pPr>
      <w:spacing w:after="100" w:before="200"/>
      <w:outlineLvl w:val="2"/>
    </w:pPr>
    <w:rPr>
      <w:rFonts w:ascii="Calibri" w:cs="Calibri" w:eastAsia="Calibri" w:hAnsi="Calibri"/>
      <w:b/>
      <w:bCs/>
      <w:color w:val="33415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2026-05-10T09:53:37.141Z</dcterms:created>
  <dcterms:modified xsi:type="dcterms:W3CDTF">2026-05-10T09:53:37.141Z</dcterms:modified>
</cp:coreProperties>
</file>

<file path=docProps/custom.xml><?xml version="1.0" encoding="utf-8"?>
<Properties xmlns="http://schemas.openxmlformats.org/officeDocument/2006/custom-properties" xmlns:vt="http://schemas.openxmlformats.org/officeDocument/2006/docPropsVTypes"/>
</file>