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D0" w:rsidRPr="00E17B66" w:rsidRDefault="00BF49E0">
      <w:pPr>
        <w:jc w:val="right"/>
        <w:rPr>
          <w:rFonts w:ascii="Microsoft YaHei UI" w:eastAsia="Microsoft YaHei UI" w:hAnsi="Microsoft YaHei UI" w:cs="Arial"/>
        </w:rPr>
      </w:pPr>
      <w:r w:rsidRPr="00E17B66">
        <w:rPr>
          <w:rFonts w:ascii="Microsoft YaHei UI" w:eastAsia="Microsoft YaHei UI" w:hAnsi="Microsoft YaHei UI" w:cs="Arial"/>
          <w:noProof/>
        </w:rPr>
        <w:drawing>
          <wp:inline distT="0" distB="0" distL="0" distR="0">
            <wp:extent cx="1400175" cy="457200"/>
            <wp:effectExtent l="0" t="0" r="9525" b="0"/>
            <wp:docPr id="2" name="Picture 1" descr="Description: Danfo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anfos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04" w:type="dxa"/>
        <w:jc w:val="center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5"/>
        <w:gridCol w:w="720"/>
        <w:gridCol w:w="2250"/>
        <w:gridCol w:w="1440"/>
        <w:gridCol w:w="270"/>
        <w:gridCol w:w="1620"/>
        <w:gridCol w:w="1440"/>
        <w:gridCol w:w="1569"/>
      </w:tblGrid>
      <w:tr w:rsidR="002804D0" w:rsidRPr="00E17B66" w:rsidTr="00733986">
        <w:trPr>
          <w:jc w:val="center"/>
        </w:trPr>
        <w:tc>
          <w:tcPr>
            <w:tcW w:w="10604" w:type="dxa"/>
            <w:gridSpan w:val="8"/>
          </w:tcPr>
          <w:p w:rsidR="002804D0" w:rsidRPr="00E17B66" w:rsidRDefault="00BF49E0" w:rsidP="00CD7A22">
            <w:pPr>
              <w:rPr>
                <w:rFonts w:ascii="Microsoft YaHei UI" w:eastAsia="Microsoft YaHei UI" w:hAnsi="Microsoft YaHei UI" w:cs="Arial"/>
                <w:sz w:val="18"/>
                <w:szCs w:val="18"/>
              </w:rPr>
            </w:pPr>
            <w:bookmarkStart w:id="0" w:name="VerName"/>
            <w:bookmarkStart w:id="1" w:name="_GoBack"/>
            <w:bookmarkEnd w:id="0"/>
            <w:bookmarkEnd w:id="1"/>
            <w:r>
              <w:rPr>
                <w:rFonts w:ascii="Microsoft YaHei UI" w:eastAsia="Microsoft YaHei UI" w:hAnsi="Microsoft YaHei UI" w:cs="Arial"/>
                <w:sz w:val="18"/>
                <w:szCs w:val="18"/>
              </w:rPr>
              <w:t>Danfoss Hexact(v5.2.28)</w:t>
            </w:r>
          </w:p>
        </w:tc>
      </w:tr>
      <w:tr w:rsidR="002804D0" w:rsidRPr="00E17B66" w:rsidTr="00733986">
        <w:trPr>
          <w:jc w:val="center"/>
        </w:trPr>
        <w:tc>
          <w:tcPr>
            <w:tcW w:w="10604" w:type="dxa"/>
            <w:gridSpan w:val="8"/>
          </w:tcPr>
          <w:p w:rsidR="00B104AF" w:rsidRPr="00E17B66" w:rsidRDefault="00BF49E0" w:rsidP="00461921">
            <w:pPr>
              <w:tabs>
                <w:tab w:val="left" w:pos="5580"/>
                <w:tab w:val="left" w:pos="6547"/>
              </w:tabs>
              <w:jc w:val="center"/>
              <w:rPr>
                <w:rFonts w:ascii="Microsoft YaHei UI" w:eastAsia="Microsoft YaHei UI" w:hAnsi="Microsoft YaHei UI" w:cs="Arial"/>
                <w:b/>
                <w:sz w:val="24"/>
                <w:szCs w:val="24"/>
              </w:rPr>
            </w:pPr>
            <w:bookmarkStart w:id="2" w:name="Heading"/>
            <w:bookmarkEnd w:id="2"/>
            <w:r>
              <w:rPr>
                <w:rFonts w:ascii="Microsoft YaHei UI" w:eastAsia="Microsoft YaHei UI" w:hAnsi="Microsoft YaHei UI" w:cs="Arial"/>
                <w:b/>
                <w:sz w:val="24"/>
                <w:szCs w:val="24"/>
              </w:rPr>
              <w:t>Universal RC - Cascade condenser - Micro Plate Heat Exchanger: D118-E-92</w:t>
            </w:r>
          </w:p>
        </w:tc>
      </w:tr>
      <w:tr w:rsidR="00461921" w:rsidRPr="00E17B66" w:rsidTr="00733986">
        <w:trPr>
          <w:jc w:val="center"/>
        </w:trPr>
        <w:tc>
          <w:tcPr>
            <w:tcW w:w="10604" w:type="dxa"/>
            <w:gridSpan w:val="8"/>
            <w:tcBorders>
              <w:bottom w:val="nil"/>
            </w:tcBorders>
          </w:tcPr>
          <w:p w:rsidR="00461921" w:rsidRPr="00E17B66" w:rsidRDefault="00461921" w:rsidP="005C539C">
            <w:pPr>
              <w:jc w:val="center"/>
              <w:rPr>
                <w:rFonts w:ascii="Microsoft YaHei UI" w:eastAsia="Microsoft YaHei UI" w:hAnsi="Microsoft YaHei UI" w:cs="Arial"/>
                <w:b/>
                <w:sz w:val="24"/>
                <w:szCs w:val="24"/>
              </w:rPr>
            </w:pPr>
          </w:p>
        </w:tc>
      </w:tr>
      <w:tr w:rsidR="00461921" w:rsidRPr="00E17B66" w:rsidTr="00733986">
        <w:trPr>
          <w:trHeight w:val="20"/>
          <w:jc w:val="center"/>
        </w:trPr>
        <w:tc>
          <w:tcPr>
            <w:tcW w:w="5705" w:type="dxa"/>
            <w:gridSpan w:val="4"/>
            <w:tcBorders>
              <w:right w:val="nil"/>
            </w:tcBorders>
          </w:tcPr>
          <w:p w:rsidR="00461921" w:rsidRPr="00E17B66" w:rsidRDefault="00BF49E0" w:rsidP="00461921">
            <w:pPr>
              <w:rPr>
                <w:rFonts w:ascii="Microsoft YaHei UI" w:eastAsia="Microsoft YaHei UI" w:hAnsi="Microsoft YaHei UI" w:cs="Arial"/>
              </w:rPr>
            </w:pPr>
            <w:bookmarkStart w:id="3" w:name="Customer"/>
            <w:bookmarkEnd w:id="3"/>
            <w:r>
              <w:rPr>
                <w:rFonts w:ascii="Microsoft YaHei UI" w:eastAsia="Microsoft YaHei UI" w:hAnsi="Microsoft YaHei UI" w:cs="Arial"/>
              </w:rPr>
              <w:t xml:space="preserve">Customer: </w:t>
            </w:r>
          </w:p>
        </w:tc>
        <w:tc>
          <w:tcPr>
            <w:tcW w:w="4899" w:type="dxa"/>
            <w:gridSpan w:val="4"/>
            <w:tcBorders>
              <w:left w:val="nil"/>
            </w:tcBorders>
          </w:tcPr>
          <w:p w:rsidR="00461921" w:rsidRPr="00E17B66" w:rsidRDefault="00BF49E0" w:rsidP="00461921">
            <w:pPr>
              <w:rPr>
                <w:rFonts w:ascii="Microsoft YaHei UI" w:eastAsia="Microsoft YaHei UI" w:hAnsi="Microsoft YaHei UI" w:cs="Arial"/>
              </w:rPr>
            </w:pPr>
            <w:bookmarkStart w:id="4" w:name="Date"/>
            <w:bookmarkEnd w:id="4"/>
            <w:r>
              <w:rPr>
                <w:rFonts w:ascii="Microsoft YaHei UI" w:eastAsia="Microsoft YaHei UI" w:hAnsi="Microsoft YaHei UI" w:cs="Arial"/>
              </w:rPr>
              <w:t>Date: 1/30/2020</w:t>
            </w:r>
          </w:p>
        </w:tc>
      </w:tr>
      <w:tr w:rsidR="00461921" w:rsidRPr="00E17B66" w:rsidTr="00733986">
        <w:trPr>
          <w:jc w:val="center"/>
        </w:trPr>
        <w:tc>
          <w:tcPr>
            <w:tcW w:w="5705" w:type="dxa"/>
            <w:gridSpan w:val="4"/>
            <w:tcBorders>
              <w:bottom w:val="single" w:sz="4" w:space="0" w:color="auto"/>
              <w:right w:val="nil"/>
            </w:tcBorders>
          </w:tcPr>
          <w:p w:rsidR="00461921" w:rsidRPr="00E17B66" w:rsidRDefault="00BF49E0" w:rsidP="00461921">
            <w:pPr>
              <w:rPr>
                <w:rFonts w:ascii="Microsoft YaHei UI" w:eastAsia="Microsoft YaHei UI" w:hAnsi="Microsoft YaHei UI" w:cs="Arial"/>
              </w:rPr>
            </w:pPr>
            <w:bookmarkStart w:id="5" w:name="Reference"/>
            <w:bookmarkEnd w:id="5"/>
            <w:r>
              <w:rPr>
                <w:rFonts w:ascii="Microsoft YaHei UI" w:eastAsia="Microsoft YaHei UI" w:hAnsi="Microsoft YaHei UI" w:cs="Arial"/>
              </w:rPr>
              <w:t xml:space="preserve">Reference: </w:t>
            </w:r>
          </w:p>
        </w:tc>
        <w:tc>
          <w:tcPr>
            <w:tcW w:w="4899" w:type="dxa"/>
            <w:gridSpan w:val="4"/>
            <w:tcBorders>
              <w:left w:val="nil"/>
              <w:bottom w:val="single" w:sz="4" w:space="0" w:color="auto"/>
            </w:tcBorders>
          </w:tcPr>
          <w:p w:rsidR="00461921" w:rsidRPr="00E17B66" w:rsidRDefault="00BF49E0" w:rsidP="00461921">
            <w:pPr>
              <w:rPr>
                <w:rFonts w:ascii="Microsoft YaHei UI" w:eastAsia="Microsoft YaHei UI" w:hAnsi="Microsoft YaHei UI" w:cs="Arial"/>
              </w:rPr>
            </w:pPr>
            <w:bookmarkStart w:id="6" w:name="DanfossRef"/>
            <w:bookmarkEnd w:id="6"/>
            <w:r>
              <w:rPr>
                <w:rFonts w:ascii="Microsoft YaHei UI" w:eastAsia="Microsoft YaHei UI" w:hAnsi="Microsoft YaHei UI" w:cs="Arial"/>
              </w:rPr>
              <w:t xml:space="preserve">Danfoss ref: </w:t>
            </w:r>
          </w:p>
        </w:tc>
      </w:tr>
      <w:tr w:rsidR="00461921" w:rsidRPr="00E17B66" w:rsidTr="00733986">
        <w:trPr>
          <w:trHeight w:val="20"/>
          <w:jc w:val="center"/>
        </w:trPr>
        <w:tc>
          <w:tcPr>
            <w:tcW w:w="1060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461921" w:rsidRPr="00E17B66" w:rsidRDefault="00BF49E0" w:rsidP="00011529">
            <w:pPr>
              <w:jc w:val="center"/>
              <w:rPr>
                <w:rFonts w:ascii="Microsoft YaHei UI" w:eastAsia="Microsoft YaHei UI" w:hAnsi="Microsoft YaHei UI" w:cs="Arial"/>
                <w:sz w:val="24"/>
                <w:szCs w:val="24"/>
              </w:rPr>
            </w:pPr>
            <w:bookmarkStart w:id="7" w:name="DesignDutyCap"/>
            <w:bookmarkEnd w:id="7"/>
            <w:r>
              <w:rPr>
                <w:rFonts w:ascii="Microsoft YaHei UI" w:eastAsia="Microsoft YaHei UI" w:hAnsi="Microsoft YaHei UI" w:cs="Arial"/>
                <w:sz w:val="24"/>
                <w:szCs w:val="24"/>
              </w:rPr>
              <w:t>Design conditions</w:t>
            </w:r>
          </w:p>
        </w:tc>
      </w:tr>
      <w:tr w:rsidR="00A6122E" w:rsidRPr="00E17B66" w:rsidTr="00733986">
        <w:trPr>
          <w:trHeight w:val="20"/>
          <w:jc w:val="center"/>
        </w:trPr>
        <w:tc>
          <w:tcPr>
            <w:tcW w:w="10604" w:type="dxa"/>
            <w:gridSpan w:val="8"/>
            <w:tcBorders>
              <w:top w:val="single" w:sz="4" w:space="0" w:color="auto"/>
              <w:bottom w:val="nil"/>
            </w:tcBorders>
          </w:tcPr>
          <w:p w:rsidR="00A6122E" w:rsidRPr="00F46FB4" w:rsidRDefault="00A6122E" w:rsidP="00011529">
            <w:pPr>
              <w:jc w:val="center"/>
              <w:rPr>
                <w:rFonts w:ascii="Microsoft YaHei UI" w:eastAsia="Microsoft YaHei UI" w:hAnsi="Microsoft YaHei UI" w:cs="Arial"/>
                <w:b/>
                <w:sz w:val="14"/>
                <w:szCs w:val="14"/>
              </w:rPr>
            </w:pPr>
          </w:p>
        </w:tc>
      </w:tr>
      <w:tr w:rsidR="005B5551" w:rsidRPr="00E17B66" w:rsidTr="00733986">
        <w:trPr>
          <w:jc w:val="center"/>
        </w:trPr>
        <w:tc>
          <w:tcPr>
            <w:tcW w:w="59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5551" w:rsidRPr="00F46FB4" w:rsidRDefault="00BF49E0" w:rsidP="005B5551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" w:name="FlowDirection"/>
            <w:bookmarkEnd w:id="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Flow type</w:t>
            </w:r>
          </w:p>
        </w:tc>
        <w:tc>
          <w:tcPr>
            <w:tcW w:w="46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B5551" w:rsidRPr="00F46FB4" w:rsidRDefault="00BF49E0" w:rsidP="00011529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" w:name="CoCurrent"/>
            <w:bookmarkEnd w:id="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Counter current</w:t>
            </w:r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" w:name="HeatLoadCap"/>
            <w:bookmarkEnd w:id="1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Heat load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" w:name="HeatLoadUnit"/>
            <w:bookmarkEnd w:id="1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" w:name="HeatLoadColon"/>
            <w:bookmarkEnd w:id="1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9D614C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BF49E0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" w:name="HeatLoad"/>
            <w:bookmarkEnd w:id="1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44.80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2B6F9A" w:rsidRPr="00E17B66" w:rsidTr="00733986">
        <w:trPr>
          <w:jc w:val="center"/>
        </w:trPr>
        <w:tc>
          <w:tcPr>
            <w:tcW w:w="59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B6F9A" w:rsidRPr="00F46FB4" w:rsidRDefault="002B6F9A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2B6F9A" w:rsidRPr="00F46FB4" w:rsidRDefault="00BF49E0" w:rsidP="00553278">
            <w:pPr>
              <w:jc w:val="center"/>
              <w:rPr>
                <w:rFonts w:ascii="Microsoft YaHei UI" w:eastAsia="Microsoft YaHei UI" w:hAnsi="Microsoft YaHei UI" w:cs="Arial"/>
                <w:b/>
                <w:sz w:val="14"/>
                <w:szCs w:val="14"/>
              </w:rPr>
            </w:pPr>
            <w:bookmarkStart w:id="14" w:name="Side1Cap"/>
            <w:bookmarkEnd w:id="14"/>
            <w:r>
              <w:rPr>
                <w:rFonts w:ascii="Microsoft YaHei UI" w:eastAsia="Microsoft YaHei UI" w:hAnsi="Microsoft YaHei UI" w:cs="Arial"/>
                <w:b/>
                <w:sz w:val="14"/>
                <w:szCs w:val="14"/>
              </w:rPr>
              <w:t>side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B6F9A" w:rsidRPr="00F46FB4" w:rsidRDefault="002B6F9A">
            <w:pPr>
              <w:ind w:left="-108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2B6F9A" w:rsidRPr="00F46FB4" w:rsidRDefault="00BF49E0" w:rsidP="00011529">
            <w:pPr>
              <w:jc w:val="center"/>
              <w:rPr>
                <w:rFonts w:ascii="Microsoft YaHei UI" w:eastAsia="Microsoft YaHei UI" w:hAnsi="Microsoft YaHei UI" w:cs="Arial"/>
                <w:b/>
                <w:sz w:val="14"/>
                <w:szCs w:val="14"/>
              </w:rPr>
            </w:pPr>
            <w:bookmarkStart w:id="15" w:name="Side2Cap"/>
            <w:bookmarkEnd w:id="15"/>
            <w:r>
              <w:rPr>
                <w:rFonts w:ascii="Microsoft YaHei UI" w:eastAsia="Microsoft YaHei UI" w:hAnsi="Microsoft YaHei UI" w:cs="Arial"/>
                <w:b/>
                <w:sz w:val="14"/>
                <w:szCs w:val="14"/>
              </w:rPr>
              <w:t>side 2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" w:name="InletTemperatureCap"/>
            <w:bookmarkEnd w:id="1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Inlet temperature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" w:name="InTempUnit"/>
            <w:bookmarkEnd w:id="1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°C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" w:name="InletTempColon"/>
            <w:bookmarkEnd w:id="1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" w:name="InTemp1"/>
            <w:bookmarkEnd w:id="1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-7.68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630FE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" w:name="InTemp2"/>
            <w:bookmarkEnd w:id="2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70.00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 w:rsidP="00D95DA2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" w:name="EvapTemperatureCap"/>
            <w:bookmarkEnd w:id="2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Dew temperature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" w:name="EvapTempUnit"/>
            <w:bookmarkEnd w:id="2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°C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" w:name="EvapTempColon"/>
            <w:bookmarkEnd w:id="2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4" w:name="TdewTemp1"/>
            <w:bookmarkEnd w:id="2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-8.00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630FE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5" w:name="TdewTemp2"/>
            <w:bookmarkEnd w:id="2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-2.00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814A4" w:rsidRPr="00F46FB4" w:rsidRDefault="00BF49E0" w:rsidP="00D95DA2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6" w:name="SubCoolingCap"/>
            <w:bookmarkEnd w:id="2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Subcooling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814A4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7" w:name="SubCoolingUnit"/>
            <w:bookmarkEnd w:id="2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814A4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8" w:name="SubCoolingColon"/>
            <w:bookmarkEnd w:id="2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C814A4" w:rsidRPr="00F46FB4" w:rsidRDefault="00C814A4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9" w:name="SubCooling1"/>
            <w:bookmarkEnd w:id="29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814A4" w:rsidRPr="00F46FB4" w:rsidRDefault="00C814A4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C814A4" w:rsidRPr="00F46FB4" w:rsidRDefault="00BF49E0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0" w:name="SubCooling2"/>
            <w:bookmarkEnd w:id="3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2.00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7C36" w:rsidRPr="00F46FB4" w:rsidRDefault="00BF49E0" w:rsidP="00D95DA2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1" w:name="SuperHeatingCap"/>
            <w:bookmarkEnd w:id="3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SuperHeating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7C36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2" w:name="SuperHeatingUnit"/>
            <w:bookmarkEnd w:id="3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B7C36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3" w:name="SuperHeatingColon"/>
            <w:bookmarkEnd w:id="3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B7C36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4" w:name="SuperHeating1"/>
            <w:bookmarkEnd w:id="3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5.00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B7C36" w:rsidRPr="00F46FB4" w:rsidRDefault="00BB7C36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BB7C36" w:rsidRPr="00F46FB4" w:rsidRDefault="00BB7C36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5" w:name="SuperHeating2"/>
            <w:bookmarkEnd w:id="35"/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 w:rsidP="00D95DA2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6" w:name="OutletTemperatureCap"/>
            <w:bookmarkEnd w:id="3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Outlet temperature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7" w:name="OutTempUnit"/>
            <w:bookmarkEnd w:id="3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°C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8" w:name="OutTempColon"/>
            <w:bookmarkEnd w:id="3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39" w:name="OutTemp1"/>
            <w:bookmarkEnd w:id="3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-3.00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30FE" w:rsidRPr="00F46FB4" w:rsidRDefault="00B630FE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30FE" w:rsidRPr="00F46FB4" w:rsidRDefault="00BF49E0" w:rsidP="00D95DA2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0" w:name="OutTemp2"/>
            <w:bookmarkEnd w:id="4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-4.00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1" w:name="MassFlowRateCap"/>
            <w:bookmarkEnd w:id="4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Mass Flowrate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2" w:name="MFRTotalUnit"/>
            <w:bookmarkEnd w:id="4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kg/s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3" w:name="MFRTotalColon"/>
            <w:bookmarkEnd w:id="4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4" w:name="MFRate1"/>
            <w:bookmarkEnd w:id="4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0.215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C24" w:rsidRPr="00F46FB4" w:rsidRDefault="00916C24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C24" w:rsidRPr="00F46FB4" w:rsidRDefault="00BF49E0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5" w:name="MFRate2"/>
            <w:bookmarkEnd w:id="4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0.135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5A9E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6" w:name="VolumetricFlowRateCap"/>
            <w:bookmarkEnd w:id="4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Volumetric Flowrate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675A9E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7" w:name="VolFlowRateUnit"/>
            <w:bookmarkEnd w:id="4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L/min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75A9E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8" w:name="VolFlowRateColon"/>
            <w:bookmarkEnd w:id="4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675A9E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49" w:name="VolFlowRate1"/>
            <w:bookmarkEnd w:id="4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5A9E" w:rsidRPr="00F46FB4" w:rsidRDefault="00675A9E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5A9E" w:rsidRPr="00F46FB4" w:rsidRDefault="00BF49E0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0" w:name="VolFlowRate2"/>
            <w:bookmarkEnd w:id="5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BF49E0" w:rsidP="008152C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1" w:name="MFRInletVaporCap"/>
            <w:bookmarkEnd w:id="5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Fluid condensed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2" w:name="MFRInletVaporUnit"/>
            <w:bookmarkEnd w:id="5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kg/s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3" w:name="MFRInletVaporColon"/>
            <w:bookmarkEnd w:id="5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16C24" w:rsidRPr="00F46FB4" w:rsidRDefault="00916C24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4" w:name="MFRInletVapor1"/>
            <w:bookmarkEnd w:id="54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C24" w:rsidRPr="00F46FB4" w:rsidRDefault="00916C24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C24" w:rsidRPr="00F46FB4" w:rsidRDefault="00BF49E0" w:rsidP="00EC573C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5" w:name="MFRInletVapor2"/>
            <w:bookmarkEnd w:id="5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0.135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6" w:name="FluidVaporizedCap"/>
            <w:bookmarkEnd w:id="5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Fluid vaporized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7" w:name="FluidVapUnit"/>
            <w:bookmarkEnd w:id="5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kg/s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8" w:name="FluidVapColon"/>
            <w:bookmarkEnd w:id="5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59" w:name="FluidVaporized1"/>
            <w:bookmarkEnd w:id="5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30FE" w:rsidRPr="00F46FB4" w:rsidRDefault="00B630FE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30FE" w:rsidRPr="00F46FB4" w:rsidRDefault="00B630FE" w:rsidP="00EC573C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0" w:name="FluidVaporized2"/>
            <w:bookmarkEnd w:id="60"/>
          </w:p>
        </w:tc>
      </w:tr>
      <w:tr w:rsidR="0086463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113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1" w:name="VapourQuality"/>
            <w:bookmarkEnd w:id="6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Inlet / Outlet quality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41139" w:rsidRPr="00F46FB4" w:rsidRDefault="00D41139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4113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2" w:name="VapourQualityColon"/>
            <w:bookmarkEnd w:id="6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D41139" w:rsidRPr="00F46FB4" w:rsidRDefault="00BF49E0" w:rsidP="00D41139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3" w:name="VapourQualityValue1"/>
            <w:bookmarkEnd w:id="6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0.000/1.000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139" w:rsidRPr="00F46FB4" w:rsidRDefault="00D41139" w:rsidP="00D41139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139" w:rsidRPr="00F46FB4" w:rsidRDefault="00BF49E0" w:rsidP="00D41139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4" w:name="VapourQualityValue2"/>
            <w:bookmarkEnd w:id="6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1.000/0.000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18F1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5" w:name="MaxPressureDropCap"/>
            <w:bookmarkEnd w:id="6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Max pressure drop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418F1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6" w:name="MaxPressureDropUnit"/>
            <w:bookmarkEnd w:id="6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kPa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418F1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7" w:name="MaxPressureDropColon"/>
            <w:bookmarkEnd w:id="6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418F1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8" w:name="MaxPressureDrop1"/>
            <w:bookmarkEnd w:id="6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200.00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8F1" w:rsidRPr="00F46FB4" w:rsidRDefault="00A418F1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418F1" w:rsidRPr="00F46FB4" w:rsidRDefault="00BF49E0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69" w:name="MaxPressureDrop2"/>
            <w:bookmarkEnd w:id="6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50.00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0" w:name="OperatingPressureOutletCap"/>
            <w:bookmarkEnd w:id="7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Abs.Saturation pressure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1" w:name="OperPDropUnit"/>
            <w:bookmarkEnd w:id="7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bar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2" w:name="OperPDropColon"/>
            <w:bookmarkEnd w:id="7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630FE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3" w:name="OperPDrop1"/>
            <w:bookmarkEnd w:id="7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2.17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30FE" w:rsidRPr="00F46FB4" w:rsidRDefault="00B630FE">
            <w:pPr>
              <w:ind w:left="80" w:hanging="80"/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30FE" w:rsidRPr="00F46FB4" w:rsidRDefault="00BF49E0" w:rsidP="009E0D7A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4" w:name="OperPDrop2"/>
            <w:bookmarkEnd w:id="7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33.04</w:t>
            </w:r>
          </w:p>
        </w:tc>
      </w:tr>
      <w:tr w:rsidR="00352746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nil"/>
              <w:bottom w:val="single" w:sz="4" w:space="0" w:color="auto"/>
            </w:tcBorders>
          </w:tcPr>
          <w:p w:rsidR="00352746" w:rsidRPr="00F46FB4" w:rsidRDefault="00352746" w:rsidP="004C7265">
            <w:pPr>
              <w:pStyle w:val="Header"/>
              <w:tabs>
                <w:tab w:val="clear" w:pos="4320"/>
                <w:tab w:val="clear" w:pos="8640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2804D0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804D0" w:rsidRPr="00E17B66" w:rsidRDefault="00BF49E0" w:rsidP="005C539C">
            <w:pPr>
              <w:jc w:val="center"/>
              <w:rPr>
                <w:rFonts w:ascii="Microsoft YaHei UI" w:eastAsia="Microsoft YaHei UI" w:hAnsi="Microsoft YaHei UI" w:cs="Arial"/>
                <w:sz w:val="24"/>
                <w:szCs w:val="24"/>
              </w:rPr>
            </w:pPr>
            <w:bookmarkStart w:id="75" w:name="PhysicalPropertiesCap"/>
            <w:bookmarkEnd w:id="75"/>
            <w:r>
              <w:rPr>
                <w:rFonts w:ascii="Microsoft YaHei UI" w:eastAsia="Microsoft YaHei UI" w:hAnsi="Microsoft YaHei UI" w:cs="Arial"/>
                <w:sz w:val="24"/>
                <w:szCs w:val="24"/>
              </w:rPr>
              <w:t>Properties of fluid</w:t>
            </w:r>
          </w:p>
        </w:tc>
      </w:tr>
      <w:tr w:rsidR="00923200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single" w:sz="4" w:space="0" w:color="auto"/>
              <w:bottom w:val="nil"/>
            </w:tcBorders>
          </w:tcPr>
          <w:p w:rsidR="00923200" w:rsidRPr="00F46FB4" w:rsidRDefault="00923200" w:rsidP="004C7265">
            <w:pPr>
              <w:pStyle w:val="Header"/>
              <w:tabs>
                <w:tab w:val="clear" w:pos="4320"/>
                <w:tab w:val="clear" w:pos="8640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86463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20B91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6" w:name="FluidNameCap"/>
            <w:bookmarkEnd w:id="7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Fluid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20B91" w:rsidRPr="00F46FB4" w:rsidRDefault="00920B91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20B91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7" w:name="FluidNameColon"/>
            <w:bookmarkEnd w:id="7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20B91" w:rsidRPr="00F46FB4" w:rsidRDefault="00BF49E0" w:rsidP="00920B91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8" w:name="FluidName1"/>
            <w:bookmarkEnd w:id="7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R134a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20B91" w:rsidRPr="00F46FB4" w:rsidRDefault="00920B91" w:rsidP="00920B91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920B91" w:rsidRPr="00F46FB4" w:rsidRDefault="00BF49E0" w:rsidP="00920B91">
            <w:pPr>
              <w:ind w:left="80" w:hanging="80"/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79" w:name="FluidName2"/>
            <w:bookmarkEnd w:id="7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CO2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2ED6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0" w:name="ReferenceTemperatureCap"/>
            <w:bookmarkEnd w:id="8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Reference temperature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52ED6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1" w:name="RefTempUnit"/>
            <w:bookmarkEnd w:id="8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°C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52ED6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2" w:name="RefTempColon"/>
            <w:bookmarkEnd w:id="8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352ED6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3" w:name="RefTemp1"/>
            <w:bookmarkEnd w:id="8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-7.84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2ED6" w:rsidRPr="00F46FB4" w:rsidRDefault="00352ED6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52ED6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4" w:name="RefTemp2"/>
            <w:bookmarkEnd w:id="8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-2.00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5" w:name="LiquidCap"/>
            <w:bookmarkEnd w:id="8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Liquid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6" w:name="LiqViscosityCap"/>
            <w:bookmarkEnd w:id="8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Dynamic viscosity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7" w:name="LiqViscUnit"/>
            <w:bookmarkEnd w:id="8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mPa-s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8" w:name="LiqViscColon"/>
            <w:bookmarkEnd w:id="8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89" w:name="LiqVisc1"/>
            <w:bookmarkEnd w:id="8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0.2950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0" w:name="LiqVisc2"/>
            <w:bookmarkEnd w:id="9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0.1029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1" w:name="LiquidDensityCap"/>
            <w:bookmarkEnd w:id="9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Density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2" w:name="LiqDensityUnit"/>
            <w:bookmarkEnd w:id="9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kg/m^3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3" w:name="LiqDensityColon"/>
            <w:bookmarkEnd w:id="9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4" w:name="LiqDensity1"/>
            <w:bookmarkEnd w:id="9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1320.3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5" w:name="LiqDensity2"/>
            <w:bookmarkEnd w:id="9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939.2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6" w:name="LiqHeatCapacityCap"/>
            <w:bookmarkEnd w:id="9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Heat capacity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7" w:name="LiqHeatCapUnit"/>
            <w:bookmarkEnd w:id="9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kJ/kg-K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8" w:name="LiqHeatCapColon"/>
            <w:bookmarkEnd w:id="9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99" w:name="LiqHeatCap1"/>
            <w:bookmarkEnd w:id="9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1.321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0" w:name="LiqHeatCap2"/>
            <w:bookmarkEnd w:id="10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2.484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1" w:name="LiqThermalConductivityCap"/>
            <w:bookmarkEnd w:id="10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Thermal conductivity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2" w:name="LiqThermCondUnit"/>
            <w:bookmarkEnd w:id="10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W/m-K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3" w:name="LiqThermCondColon"/>
            <w:bookmarkEnd w:id="10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4" w:name="LiqThermCond1"/>
            <w:bookmarkEnd w:id="10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0.096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5" w:name="LiqThermCond2"/>
            <w:bookmarkEnd w:id="10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0.113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6" w:name="VaporViscosityCap"/>
            <w:bookmarkStart w:id="107" w:name="VaporCap"/>
            <w:bookmarkEnd w:id="106"/>
            <w:bookmarkEnd w:id="10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Gas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8" w:name="VapViscosityCap"/>
            <w:bookmarkEnd w:id="10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Dynamic viscosity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09" w:name="VapViscUnit"/>
            <w:bookmarkEnd w:id="10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mPa-s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0" w:name="VapViscColon"/>
            <w:bookmarkEnd w:id="11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1" w:name="VapVisc1"/>
            <w:bookmarkEnd w:id="11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0.0104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0E21D5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BF49E0" w:rsidP="003B4E08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2" w:name="VapVisc2"/>
            <w:bookmarkEnd w:id="11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0.0146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3" w:name="VapDensityCap"/>
            <w:bookmarkEnd w:id="11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Density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4" w:name="VapDensityUnit"/>
            <w:bookmarkEnd w:id="11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kg/m^3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5" w:name="VapDensityColon"/>
            <w:bookmarkEnd w:id="11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6" w:name="VapDensity1"/>
            <w:bookmarkEnd w:id="11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10.9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0E21D5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BF49E0" w:rsidP="003E3253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7" w:name="VapDensity2"/>
            <w:bookmarkEnd w:id="11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91.6</w:t>
            </w:r>
          </w:p>
        </w:tc>
      </w:tr>
      <w:tr w:rsidR="00920B91" w:rsidRPr="00E17B66" w:rsidTr="00733986">
        <w:trPr>
          <w:trHeight w:val="20"/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8" w:name="VapHeatCapacityCap"/>
            <w:bookmarkEnd w:id="11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Heat capacity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19" w:name="VapHeatCapUnit"/>
            <w:bookmarkEnd w:id="11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kJ/kg-K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0" w:name="VapHeatCapColon"/>
            <w:bookmarkEnd w:id="12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1" w:name="VapHeatCap1"/>
            <w:bookmarkEnd w:id="12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0.863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0E21D5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BF49E0" w:rsidP="003E3253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2" w:name="VapHeatCap2"/>
            <w:bookmarkEnd w:id="12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1.777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3" w:name="VapThermalCondCap"/>
            <w:bookmarkEnd w:id="12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Thermal conductivity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4" w:name="VapThermCondUnit"/>
            <w:bookmarkEnd w:id="12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W/m-K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5" w:name="VapThermCondColon"/>
            <w:bookmarkEnd w:id="12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6" w:name="VapThermCond1"/>
            <w:bookmarkEnd w:id="12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0E21D5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BF49E0" w:rsidP="003E3253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7" w:name="VapThermCond2"/>
            <w:bookmarkEnd w:id="12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0.019</w:t>
            </w:r>
          </w:p>
        </w:tc>
      </w:tr>
      <w:tr w:rsidR="00920B91" w:rsidRPr="00E17B66" w:rsidTr="00733986">
        <w:trPr>
          <w:jc w:val="center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8" w:name="VapLatentHeatCap"/>
            <w:bookmarkEnd w:id="12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Latent heat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29" w:name="VapLatHeatUnit"/>
            <w:bookmarkEnd w:id="12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kJ/kg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0" w:name="VapLatHeatColon"/>
            <w:bookmarkEnd w:id="13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9E0D7A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1" w:name="VapLatHeat1"/>
            <w:bookmarkEnd w:id="13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204.42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0E21D5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BF49E0" w:rsidP="00CB543E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2" w:name="VapLatHeat2"/>
            <w:bookmarkEnd w:id="13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236.83</w:t>
            </w:r>
          </w:p>
        </w:tc>
      </w:tr>
      <w:tr w:rsidR="001A01CF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01CF" w:rsidRPr="00F46FB4" w:rsidRDefault="001A01CF" w:rsidP="00445544">
            <w:pPr>
              <w:pStyle w:val="Header"/>
              <w:tabs>
                <w:tab w:val="clear" w:pos="4320"/>
                <w:tab w:val="clear" w:pos="8640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2804D0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2804D0" w:rsidRPr="00E17B66" w:rsidRDefault="00BF49E0" w:rsidP="005C539C">
            <w:pPr>
              <w:jc w:val="center"/>
              <w:rPr>
                <w:rFonts w:ascii="Microsoft YaHei UI" w:eastAsia="Microsoft YaHei UI" w:hAnsi="Microsoft YaHei UI" w:cs="Arial"/>
                <w:sz w:val="24"/>
                <w:szCs w:val="24"/>
              </w:rPr>
            </w:pPr>
            <w:bookmarkStart w:id="133" w:name="DesignedPlateHeatExchangerCap"/>
            <w:bookmarkEnd w:id="133"/>
            <w:r>
              <w:rPr>
                <w:rFonts w:ascii="Microsoft YaHei UI" w:eastAsia="Microsoft YaHei UI" w:hAnsi="Microsoft YaHei UI" w:cs="Arial"/>
                <w:sz w:val="24"/>
                <w:szCs w:val="24"/>
              </w:rPr>
              <w:t>Micro Plate Heat Exchanger</w:t>
            </w:r>
          </w:p>
        </w:tc>
      </w:tr>
      <w:tr w:rsidR="0098016D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single" w:sz="4" w:space="0" w:color="auto"/>
              <w:bottom w:val="nil"/>
            </w:tcBorders>
          </w:tcPr>
          <w:p w:rsidR="0098016D" w:rsidRPr="00F46FB4" w:rsidRDefault="0098016D" w:rsidP="0098016D">
            <w:pPr>
              <w:pStyle w:val="Header"/>
              <w:tabs>
                <w:tab w:val="clear" w:pos="4320"/>
                <w:tab w:val="clear" w:pos="8640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4" w:name="TotalHeatTransferAreaCap"/>
            <w:bookmarkEnd w:id="13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Total area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5" w:name="HTAUnit"/>
            <w:bookmarkEnd w:id="13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m^2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6" w:name="HTAColon"/>
            <w:bookmarkEnd w:id="13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BF49E0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7" w:name="HeatTransArea"/>
            <w:bookmarkEnd w:id="13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9.00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 w:hint="eastAsia"/>
                <w:sz w:val="14"/>
                <w:szCs w:val="14"/>
                <w:lang w:eastAsia="zh-CN"/>
              </w:rPr>
            </w:pPr>
            <w:bookmarkStart w:id="138" w:name="HeatFluxCap"/>
            <w:bookmarkEnd w:id="138"/>
            <w:r>
              <w:rPr>
                <w:rFonts w:ascii="Microsoft YaHei UI" w:eastAsia="Microsoft YaHei UI" w:hAnsi="Microsoft YaHei UI" w:cs="Arial"/>
                <w:sz w:val="14"/>
                <w:szCs w:val="14"/>
                <w:lang w:eastAsia="zh-CN"/>
              </w:rPr>
              <w:t>Heat flux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39" w:name="HeatFluxUnit"/>
            <w:bookmarkEnd w:id="13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kW/m^2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0" w:name="HeatFluxColon"/>
            <w:bookmarkEnd w:id="14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9D614C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BF49E0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1" w:name="HeatFlux"/>
            <w:bookmarkEnd w:id="14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4.978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2" w:name="MeanTemperatureDifferenceCap"/>
            <w:bookmarkEnd w:id="14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LMTD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3" w:name="LMTDUnit"/>
            <w:bookmarkEnd w:id="14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4" w:name="LMTDColon"/>
            <w:bookmarkEnd w:id="14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BF49E0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5" w:name="LMTD"/>
            <w:bookmarkEnd w:id="14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5.52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6" w:name="OverallHTCCap"/>
            <w:bookmarkEnd w:id="14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H.T.C.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7" w:name="HTCUnit"/>
            <w:bookmarkEnd w:id="14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W/m^2-K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8" w:name="HTCColon"/>
            <w:bookmarkEnd w:id="14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BF49E0" w:rsidP="00A6122E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49" w:name="HTC"/>
            <w:bookmarkEnd w:id="14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908.9/902.0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A0327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0" w:name="PressureDropCap"/>
            <w:bookmarkEnd w:id="15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Pressure drop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1" w:name="PDropTotalCap"/>
            <w:bookmarkEnd w:id="15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Total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2" w:name="PDropTotalUnit"/>
            <w:bookmarkEnd w:id="15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kPa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3" w:name="PDropTotalColon"/>
            <w:bookmarkEnd w:id="15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4" w:name="PDropTotal1"/>
            <w:bookmarkEnd w:id="15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3.80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BF49E0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5" w:name="PDropTotal2"/>
            <w:bookmarkEnd w:id="15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0.17</w:t>
            </w:r>
          </w:p>
        </w:tc>
      </w:tr>
      <w:tr w:rsidR="00920B91" w:rsidRPr="00E17B66" w:rsidTr="00733986">
        <w:trPr>
          <w:jc w:val="center"/>
        </w:trPr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tabs>
                <w:tab w:val="left" w:pos="1286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A0327F">
            <w:pPr>
              <w:tabs>
                <w:tab w:val="left" w:pos="1286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6" w:name="channePDCap"/>
            <w:bookmarkEnd w:id="15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Channel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7" w:name="channePDUnit"/>
            <w:bookmarkEnd w:id="15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kPa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8" w:name="channePDColon"/>
            <w:bookmarkEnd w:id="15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59" w:name="channePD1"/>
            <w:bookmarkEnd w:id="15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2.21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BF49E0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0" w:name="channePD2"/>
            <w:bookmarkEnd w:id="16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0.19</w:t>
            </w:r>
          </w:p>
        </w:tc>
      </w:tr>
      <w:tr w:rsidR="00920B91" w:rsidRPr="00E17B66" w:rsidTr="00733986">
        <w:trPr>
          <w:jc w:val="center"/>
        </w:trPr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A0327F" w:rsidP="00A0327F">
            <w:pPr>
              <w:tabs>
                <w:tab w:val="left" w:pos="1286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A0327F">
            <w:pPr>
              <w:tabs>
                <w:tab w:val="left" w:pos="1286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1" w:name="portPDCap"/>
            <w:bookmarkEnd w:id="16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 In port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A0327F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2" w:name="portPDUnit"/>
            <w:bookmarkEnd w:id="16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kPa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3" w:name="portPDColon"/>
            <w:bookmarkEnd w:id="16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0327F" w:rsidRPr="00F46FB4" w:rsidRDefault="00BF49E0" w:rsidP="00A0327F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4" w:name="portPD1"/>
            <w:bookmarkEnd w:id="16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A0327F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327F" w:rsidRPr="00F46FB4" w:rsidRDefault="00BF49E0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5" w:name="portPD2"/>
            <w:bookmarkEnd w:id="16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-0.02</w:t>
            </w:r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6" w:name="ChannelVelocityCap"/>
            <w:bookmarkEnd w:id="16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Channel velocity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7" w:name="ChannelVelocityUnit"/>
            <w:bookmarkEnd w:id="16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m/s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8" w:name="ChannelVelocityColon"/>
            <w:bookmarkEnd w:id="16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69" w:name="ChannelVelocity1"/>
            <w:bookmarkEnd w:id="16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BF49E0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0" w:name="ChannelVelocity2"/>
            <w:bookmarkEnd w:id="17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0.07</w:t>
            </w:r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1" w:name="PortVelocityCap"/>
            <w:bookmarkEnd w:id="17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Port velocity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2" w:name="PortVelocityUnit"/>
            <w:bookmarkEnd w:id="17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m/s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3" w:name="PortVelocityColon"/>
            <w:bookmarkEnd w:id="17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4" w:name="PortVelocity1"/>
            <w:bookmarkEnd w:id="17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5.51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BF49E0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5" w:name="PortVelocity2"/>
            <w:bookmarkEnd w:id="17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0.45</w:t>
            </w:r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6" w:name="ReNumCap"/>
            <w:bookmarkEnd w:id="17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Reynolds number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9D614C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7" w:name="ReNumUnit"/>
            <w:bookmarkEnd w:id="177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8" w:name="ReNumColon"/>
            <w:bookmarkEnd w:id="17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79" w:name="ReNum1"/>
            <w:bookmarkEnd w:id="179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0" w:name="ReNum2"/>
            <w:bookmarkEnd w:id="180"/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1" w:name="FilmCoefficientCap"/>
            <w:bookmarkEnd w:id="18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Film coefficient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2" w:name="FilmCoefficientUnit"/>
            <w:bookmarkEnd w:id="18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W/m^2-K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3" w:name="FilmCoefficientColon"/>
            <w:bookmarkEnd w:id="18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4" w:name="FilmCoefficient1"/>
            <w:bookmarkEnd w:id="18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2696.6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BF49E0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5" w:name="FilmCoefficient2"/>
            <w:bookmarkEnd w:id="18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1728.7</w:t>
            </w:r>
          </w:p>
        </w:tc>
      </w:tr>
      <w:tr w:rsidR="009D614C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6" w:name="WallReferenceTemperatureCap"/>
            <w:bookmarkEnd w:id="18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Ave. wall temperature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7" w:name="WallReferenceTemperatureUnit"/>
            <w:bookmarkEnd w:id="18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°C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8" w:name="WallReferenceTemperatureColon"/>
            <w:bookmarkEnd w:id="18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9D614C" w:rsidRPr="00F46FB4" w:rsidRDefault="00BF49E0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89" w:name="WallReferenceTemperature1"/>
            <w:bookmarkEnd w:id="18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-5.87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9D614C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614C" w:rsidRPr="00F46FB4" w:rsidRDefault="00BF49E0" w:rsidP="00F956B0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0" w:name="WallReferenceTemperature2"/>
            <w:bookmarkEnd w:id="19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-5.07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1" w:name="ConnectionDiameterCap"/>
            <w:bookmarkEnd w:id="19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Port hole diameter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2" w:name="ConnDiaUnit"/>
            <w:bookmarkEnd w:id="19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3" w:name="ConnDiaColon"/>
            <w:bookmarkEnd w:id="19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4" w:name="ConnDia1"/>
            <w:bookmarkEnd w:id="19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48.0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BF49E0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5" w:name="ConnDia2"/>
            <w:bookmarkEnd w:id="19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48.0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6" w:name="NumberofChannelsCap"/>
            <w:bookmarkEnd w:id="19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Channel number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7" w:name="NoOfChansColon"/>
            <w:bookmarkEnd w:id="19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8" w:name="NoOfChans1"/>
            <w:bookmarkEnd w:id="19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45EM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BF49E0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199" w:name="NoOfChans2"/>
            <w:bookmarkEnd w:id="19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46EM</w:t>
            </w: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0" w:name="TotalNumberofPlatesCap"/>
            <w:bookmarkEnd w:id="20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Number of plates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1" w:name="TotalPlatesColon"/>
            <w:bookmarkEnd w:id="20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BF49E0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2" w:name="TotalPlates"/>
            <w:bookmarkEnd w:id="20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92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3" w:name="OversurfacingCap"/>
            <w:bookmarkEnd w:id="20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Surface margin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4" w:name="OverSurfUnit"/>
            <w:bookmarkEnd w:id="20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%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5" w:name="OverSurfColon"/>
            <w:bookmarkEnd w:id="20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BF49E0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6" w:name="OverSurf"/>
            <w:bookmarkEnd w:id="20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0.8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7" w:name="FoulingFactorCap"/>
            <w:bookmarkEnd w:id="20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Fouling factor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8" w:name="FoulFactorUnit"/>
            <w:bookmarkEnd w:id="20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m^2-K/kW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BF49E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09" w:name="FoulFactorColon"/>
            <w:bookmarkEnd w:id="20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BF49E0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0" w:name="FoulFactor"/>
            <w:bookmarkEnd w:id="21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0.008417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920B91" w:rsidRPr="00E17B66" w:rsidTr="00733986">
        <w:trPr>
          <w:jc w:val="center"/>
        </w:trPr>
        <w:tc>
          <w:tcPr>
            <w:tcW w:w="4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1" w:name="Volume"/>
            <w:bookmarkEnd w:id="211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jc w:val="right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2" w:name="VolumeUnit"/>
            <w:bookmarkEnd w:id="212"/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60029" w:rsidRPr="00F46FB4" w:rsidRDefault="00760029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3" w:name="VolumeSide1"/>
            <w:bookmarkEnd w:id="213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44554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0029" w:rsidRPr="00F46FB4" w:rsidRDefault="00760029" w:rsidP="00E13F84">
            <w:pPr>
              <w:jc w:val="center"/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4" w:name="VolumeSide2"/>
            <w:bookmarkEnd w:id="214"/>
          </w:p>
        </w:tc>
      </w:tr>
      <w:tr w:rsidR="00A6705B" w:rsidRPr="00E17B66" w:rsidTr="00733986">
        <w:trPr>
          <w:jc w:val="center"/>
        </w:trPr>
        <w:tc>
          <w:tcPr>
            <w:tcW w:w="10604" w:type="dxa"/>
            <w:gridSpan w:val="8"/>
            <w:tcBorders>
              <w:top w:val="nil"/>
            </w:tcBorders>
          </w:tcPr>
          <w:p w:rsidR="00A6705B" w:rsidRPr="00F46FB4" w:rsidRDefault="00A6705B" w:rsidP="00A6705B">
            <w:pPr>
              <w:pStyle w:val="Header"/>
              <w:tabs>
                <w:tab w:val="clear" w:pos="4320"/>
                <w:tab w:val="clear" w:pos="8640"/>
              </w:tabs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</w:tbl>
    <w:p w:rsidR="00E4362E" w:rsidRPr="00E17B66" w:rsidRDefault="00513E32" w:rsidP="00E4362E">
      <w:pPr>
        <w:jc w:val="right"/>
        <w:rPr>
          <w:rFonts w:ascii="Microsoft YaHei UI" w:eastAsia="Microsoft YaHei UI" w:hAnsi="Microsoft YaHei UI" w:cs="Arial"/>
        </w:rPr>
      </w:pPr>
      <w:r w:rsidRPr="00E17B66">
        <w:rPr>
          <w:rFonts w:ascii="Microsoft YaHei UI" w:eastAsia="Microsoft YaHei UI" w:hAnsi="Microsoft YaHei UI" w:cs="Arial"/>
          <w:lang w:eastAsia="zh-CN"/>
        </w:rPr>
        <w:br w:type="page"/>
      </w:r>
      <w:r w:rsidR="00BF49E0" w:rsidRPr="00E17B66">
        <w:rPr>
          <w:rFonts w:ascii="Microsoft YaHei UI" w:eastAsia="Microsoft YaHei UI" w:hAnsi="Microsoft YaHei UI" w:cs="Arial"/>
          <w:noProof/>
        </w:rPr>
        <w:lastRenderedPageBreak/>
        <w:drawing>
          <wp:inline distT="0" distB="0" distL="0" distR="0">
            <wp:extent cx="1400175" cy="457200"/>
            <wp:effectExtent l="0" t="0" r="9525" b="0"/>
            <wp:docPr id="3" name="Picture 3" descr="Description: Danfo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anfoss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04" w:type="dxa"/>
        <w:jc w:val="center"/>
        <w:tblLayout w:type="fixed"/>
        <w:tblLook w:val="0000" w:firstRow="0" w:lastRow="0" w:firstColumn="0" w:lastColumn="0" w:noHBand="0" w:noVBand="0"/>
      </w:tblPr>
      <w:tblGrid>
        <w:gridCol w:w="3001"/>
        <w:gridCol w:w="686"/>
        <w:gridCol w:w="132"/>
        <w:gridCol w:w="3322"/>
        <w:gridCol w:w="2078"/>
        <w:gridCol w:w="1385"/>
      </w:tblGrid>
      <w:tr w:rsidR="00076091" w:rsidRPr="00E17B66" w:rsidTr="00AC2EBB">
        <w:trPr>
          <w:jc w:val="center"/>
        </w:trPr>
        <w:tc>
          <w:tcPr>
            <w:tcW w:w="1060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76091" w:rsidRPr="00E17B66" w:rsidRDefault="00BF49E0" w:rsidP="00073444">
            <w:pPr>
              <w:rPr>
                <w:rFonts w:ascii="Microsoft YaHei UI" w:eastAsia="Microsoft YaHei UI" w:hAnsi="Microsoft YaHei UI" w:cs="Arial"/>
                <w:sz w:val="24"/>
                <w:szCs w:val="24"/>
              </w:rPr>
            </w:pPr>
            <w:bookmarkStart w:id="215" w:name="DrawingCap"/>
            <w:bookmarkEnd w:id="215"/>
            <w:r>
              <w:rPr>
                <w:rFonts w:ascii="Microsoft YaHei UI" w:eastAsia="Microsoft YaHei UI" w:hAnsi="Microsoft YaHei UI" w:cs="Arial"/>
                <w:sz w:val="24"/>
                <w:szCs w:val="24"/>
              </w:rPr>
              <w:t>D118-E-92</w:t>
            </w:r>
          </w:p>
        </w:tc>
      </w:tr>
      <w:tr w:rsidR="00B52455" w:rsidRPr="00E17B66" w:rsidTr="00236CF7">
        <w:trPr>
          <w:trHeight w:val="4253"/>
          <w:jc w:val="center"/>
        </w:trPr>
        <w:tc>
          <w:tcPr>
            <w:tcW w:w="10604" w:type="dxa"/>
            <w:gridSpan w:val="6"/>
            <w:tcBorders>
              <w:top w:val="single" w:sz="4" w:space="0" w:color="auto"/>
            </w:tcBorders>
          </w:tcPr>
          <w:p w:rsidR="00B52455" w:rsidRPr="00EC4C2F" w:rsidRDefault="00BF49E0" w:rsidP="00AA38DC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6" w:name="Drawing"/>
            <w:bookmarkEnd w:id="216"/>
            <w:r>
              <w:rPr>
                <w:rFonts w:ascii="Microsoft YaHei UI" w:eastAsia="Microsoft YaHei UI" w:hAnsi="Microsoft YaHei UI" w:cs="Arial"/>
                <w:noProof/>
                <w:sz w:val="14"/>
                <w:szCs w:val="14"/>
              </w:rPr>
              <w:drawing>
                <wp:inline distT="0" distB="0" distL="0" distR="0">
                  <wp:extent cx="3257550" cy="3895725"/>
                  <wp:effectExtent l="0" t="0" r="0" b="9525"/>
                  <wp:docPr id="1" name="Picture 1" descr="C:\Users\Asus\AppData\Local\DanfossHexact5\app-5.2.28\Image\D1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AppData\Local\DanfossHexact5\app-5.2.28\Image\D1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BF49E0" w:rsidP="0014344F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7" w:name="DrawingPlateNumberCap"/>
            <w:bookmarkEnd w:id="21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Number of plates</w:t>
            </w:r>
          </w:p>
        </w:tc>
        <w:tc>
          <w:tcPr>
            <w:tcW w:w="5400" w:type="dxa"/>
            <w:gridSpan w:val="2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8" w:name="DrawingPlateNumber"/>
            <w:bookmarkEnd w:id="21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92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19" w:name="DrawingACap"/>
            <w:bookmarkEnd w:id="219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A (mm)</w:t>
            </w:r>
          </w:p>
        </w:tc>
        <w:tc>
          <w:tcPr>
            <w:tcW w:w="5400" w:type="dxa"/>
            <w:gridSpan w:val="2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0" w:name="DrawingA"/>
            <w:bookmarkEnd w:id="22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171.6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1" w:name="DrawingLCap"/>
            <w:bookmarkEnd w:id="22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L (mm)</w:t>
            </w:r>
          </w:p>
        </w:tc>
        <w:tc>
          <w:tcPr>
            <w:tcW w:w="5400" w:type="dxa"/>
            <w:gridSpan w:val="2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2" w:name="DrawingL"/>
            <w:bookmarkEnd w:id="22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25.0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3" w:name="DrawingWeightCap"/>
            <w:bookmarkEnd w:id="22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Weight (kg)</w:t>
            </w:r>
          </w:p>
        </w:tc>
        <w:tc>
          <w:tcPr>
            <w:tcW w:w="5400" w:type="dxa"/>
            <w:gridSpan w:val="2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4" w:name="DrawingWeight"/>
            <w:bookmarkEnd w:id="22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29.87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5" w:name="DrawingChannelVolumeCap"/>
            <w:bookmarkEnd w:id="22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Channel volume (L)</w:t>
            </w:r>
          </w:p>
        </w:tc>
        <w:tc>
          <w:tcPr>
            <w:tcW w:w="5400" w:type="dxa"/>
            <w:gridSpan w:val="2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6" w:name="DrawingChannelVolume"/>
            <w:bookmarkEnd w:id="226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Q1 Q2 side: 6.946 / Q3 Q4 side: 6.795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7" w:name="DesignPressureCap"/>
            <w:bookmarkEnd w:id="227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Design Pressure(Max) (bar)</w:t>
            </w:r>
          </w:p>
        </w:tc>
        <w:tc>
          <w:tcPr>
            <w:tcW w:w="5400" w:type="dxa"/>
            <w:gridSpan w:val="2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8" w:name="DesignPressure"/>
            <w:bookmarkEnd w:id="228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30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29" w:name="TestPressureCap"/>
            <w:bookmarkStart w:id="230" w:name="DesignTempCap"/>
            <w:bookmarkEnd w:id="229"/>
            <w:bookmarkEnd w:id="230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Design Temp. (Max/Min) (°C)</w:t>
            </w:r>
          </w:p>
        </w:tc>
        <w:tc>
          <w:tcPr>
            <w:tcW w:w="5400" w:type="dxa"/>
            <w:gridSpan w:val="2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1" w:name="DesignTemp"/>
            <w:bookmarkEnd w:id="231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-196 / +200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2" w:name="SolderConnCap"/>
            <w:bookmarkEnd w:id="232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Solder connections(Max):</w:t>
            </w:r>
          </w:p>
        </w:tc>
        <w:tc>
          <w:tcPr>
            <w:tcW w:w="5400" w:type="dxa"/>
            <w:gridSpan w:val="2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3" w:name="SolderConn"/>
            <w:bookmarkEnd w:id="233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2_1/8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4" w:name="ExternalThreadedCap"/>
            <w:bookmarkEnd w:id="234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External threaded(Max):</w:t>
            </w:r>
          </w:p>
        </w:tc>
        <w:tc>
          <w:tcPr>
            <w:tcW w:w="5400" w:type="dxa"/>
            <w:gridSpan w:val="2"/>
          </w:tcPr>
          <w:p w:rsidR="00664F71" w:rsidRPr="00EC4C2F" w:rsidRDefault="00BF49E0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5" w:name="ExternalThreaded"/>
            <w:bookmarkEnd w:id="235"/>
            <w:r>
              <w:rPr>
                <w:rFonts w:ascii="Microsoft YaHei UI" w:eastAsia="Microsoft YaHei UI" w:hAnsi="Microsoft YaHei UI" w:cs="Arial"/>
                <w:sz w:val="14"/>
                <w:szCs w:val="14"/>
              </w:rPr>
              <w:t>2</w:t>
            </w:r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6" w:name="InternalThreadedCap"/>
            <w:bookmarkEnd w:id="236"/>
          </w:p>
        </w:tc>
        <w:tc>
          <w:tcPr>
            <w:tcW w:w="5400" w:type="dxa"/>
            <w:gridSpan w:val="2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7" w:name="InternalThreaded"/>
            <w:bookmarkEnd w:id="237"/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4F71" w:rsidRPr="00E17B66" w:rsidTr="00236CF7">
        <w:trPr>
          <w:jc w:val="center"/>
        </w:trPr>
        <w:tc>
          <w:tcPr>
            <w:tcW w:w="3819" w:type="dxa"/>
            <w:gridSpan w:val="3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8" w:name="VictaulicCap"/>
            <w:bookmarkEnd w:id="238"/>
          </w:p>
        </w:tc>
        <w:tc>
          <w:tcPr>
            <w:tcW w:w="5400" w:type="dxa"/>
            <w:gridSpan w:val="2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  <w:bookmarkStart w:id="239" w:name="Victaulic"/>
            <w:bookmarkEnd w:id="239"/>
          </w:p>
        </w:tc>
        <w:tc>
          <w:tcPr>
            <w:tcW w:w="1385" w:type="dxa"/>
          </w:tcPr>
          <w:p w:rsidR="00664F71" w:rsidRPr="00EC4C2F" w:rsidRDefault="00664F71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373C13" w:rsidRPr="00E17B66" w:rsidTr="00236CF7">
        <w:trPr>
          <w:jc w:val="center"/>
        </w:trPr>
        <w:tc>
          <w:tcPr>
            <w:tcW w:w="3001" w:type="dxa"/>
          </w:tcPr>
          <w:p w:rsidR="00373C13" w:rsidRPr="00EC4C2F" w:rsidRDefault="00373C13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686" w:type="dxa"/>
          </w:tcPr>
          <w:p w:rsidR="00373C13" w:rsidRPr="00EC4C2F" w:rsidRDefault="00373C13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3454" w:type="dxa"/>
            <w:gridSpan w:val="2"/>
          </w:tcPr>
          <w:p w:rsidR="00373C13" w:rsidRPr="00EC4C2F" w:rsidRDefault="00373C13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  <w:tc>
          <w:tcPr>
            <w:tcW w:w="3463" w:type="dxa"/>
            <w:gridSpan w:val="2"/>
          </w:tcPr>
          <w:p w:rsidR="00373C13" w:rsidRPr="00EC4C2F" w:rsidRDefault="00373C13" w:rsidP="00101D80">
            <w:pPr>
              <w:rPr>
                <w:rFonts w:ascii="Microsoft YaHei UI" w:eastAsia="Microsoft YaHei UI" w:hAnsi="Microsoft YaHei UI" w:cs="Arial"/>
                <w:sz w:val="14"/>
                <w:szCs w:val="14"/>
              </w:rPr>
            </w:pPr>
          </w:p>
        </w:tc>
      </w:tr>
      <w:tr w:rsidR="00665E52" w:rsidRPr="00E17B66" w:rsidTr="00236CF7">
        <w:trPr>
          <w:jc w:val="center"/>
        </w:trPr>
        <w:tc>
          <w:tcPr>
            <w:tcW w:w="3001" w:type="dxa"/>
          </w:tcPr>
          <w:p w:rsidR="00665E52" w:rsidRPr="00E17B66" w:rsidRDefault="00665E52" w:rsidP="00101D80">
            <w:pPr>
              <w:rPr>
                <w:rFonts w:ascii="Microsoft YaHei UI" w:eastAsia="Microsoft YaHei UI" w:hAnsi="Microsoft YaHei UI" w:cs="Arial"/>
                <w:sz w:val="12"/>
                <w:szCs w:val="12"/>
              </w:rPr>
            </w:pPr>
            <w:bookmarkStart w:id="240" w:name="warning"/>
            <w:bookmarkEnd w:id="240"/>
          </w:p>
        </w:tc>
        <w:tc>
          <w:tcPr>
            <w:tcW w:w="686" w:type="dxa"/>
          </w:tcPr>
          <w:p w:rsidR="00665E52" w:rsidRPr="00E17B66" w:rsidRDefault="00665E52" w:rsidP="00101D80">
            <w:pPr>
              <w:rPr>
                <w:rFonts w:ascii="Microsoft YaHei UI" w:eastAsia="Microsoft YaHei UI" w:hAnsi="Microsoft YaHei UI" w:cs="Arial"/>
                <w:sz w:val="12"/>
                <w:szCs w:val="12"/>
              </w:rPr>
            </w:pPr>
          </w:p>
        </w:tc>
        <w:tc>
          <w:tcPr>
            <w:tcW w:w="3454" w:type="dxa"/>
            <w:gridSpan w:val="2"/>
          </w:tcPr>
          <w:p w:rsidR="00665E52" w:rsidRPr="00E17B66" w:rsidRDefault="00665E52" w:rsidP="00101D80">
            <w:pPr>
              <w:rPr>
                <w:rFonts w:ascii="Microsoft YaHei UI" w:eastAsia="Microsoft YaHei UI" w:hAnsi="Microsoft YaHei UI" w:cs="Arial"/>
                <w:sz w:val="12"/>
                <w:szCs w:val="12"/>
              </w:rPr>
            </w:pPr>
          </w:p>
        </w:tc>
        <w:tc>
          <w:tcPr>
            <w:tcW w:w="3463" w:type="dxa"/>
            <w:gridSpan w:val="2"/>
          </w:tcPr>
          <w:p w:rsidR="00665E52" w:rsidRPr="00E17B66" w:rsidRDefault="00665E52" w:rsidP="00101D80">
            <w:pPr>
              <w:rPr>
                <w:rFonts w:ascii="Microsoft YaHei UI" w:eastAsia="Microsoft YaHei UI" w:hAnsi="Microsoft YaHei UI" w:cs="Arial"/>
                <w:sz w:val="12"/>
                <w:szCs w:val="12"/>
              </w:rPr>
            </w:pPr>
          </w:p>
        </w:tc>
      </w:tr>
    </w:tbl>
    <w:p w:rsidR="00601C21" w:rsidRPr="00E17B66" w:rsidRDefault="00601C21" w:rsidP="00533ECB">
      <w:pPr>
        <w:rPr>
          <w:rFonts w:ascii="Microsoft YaHei UI" w:eastAsia="Microsoft YaHei UI" w:hAnsi="Microsoft YaHei UI" w:cs="Arial"/>
        </w:rPr>
      </w:pPr>
    </w:p>
    <w:sectPr w:rsidR="00601C21" w:rsidRPr="00E17B66" w:rsidSect="00A665C5">
      <w:pgSz w:w="11909" w:h="16834" w:code="9"/>
      <w:pgMar w:top="346" w:right="1411" w:bottom="619" w:left="1411" w:header="562" w:footer="4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293" w:rsidRDefault="003A2293">
      <w:r>
        <w:separator/>
      </w:r>
    </w:p>
  </w:endnote>
  <w:endnote w:type="continuationSeparator" w:id="0">
    <w:p w:rsidR="003A2293" w:rsidRDefault="003A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ero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293" w:rsidRDefault="003A2293">
      <w:r>
        <w:separator/>
      </w:r>
    </w:p>
  </w:footnote>
  <w:footnote w:type="continuationSeparator" w:id="0">
    <w:p w:rsidR="003A2293" w:rsidRDefault="003A2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E0"/>
    <w:rsid w:val="000008C6"/>
    <w:rsid w:val="0000106F"/>
    <w:rsid w:val="00011529"/>
    <w:rsid w:val="00012A35"/>
    <w:rsid w:val="00021DB0"/>
    <w:rsid w:val="00027AFC"/>
    <w:rsid w:val="00043DBD"/>
    <w:rsid w:val="00050B61"/>
    <w:rsid w:val="000712B2"/>
    <w:rsid w:val="00073444"/>
    <w:rsid w:val="00075D02"/>
    <w:rsid w:val="00076091"/>
    <w:rsid w:val="000A00DA"/>
    <w:rsid w:val="000A146C"/>
    <w:rsid w:val="000A326E"/>
    <w:rsid w:val="000A65F1"/>
    <w:rsid w:val="000B629A"/>
    <w:rsid w:val="000D121F"/>
    <w:rsid w:val="000E21D5"/>
    <w:rsid w:val="000F6DF5"/>
    <w:rsid w:val="00101267"/>
    <w:rsid w:val="00101D80"/>
    <w:rsid w:val="00107E16"/>
    <w:rsid w:val="00111C6A"/>
    <w:rsid w:val="00113471"/>
    <w:rsid w:val="00124D77"/>
    <w:rsid w:val="001340DD"/>
    <w:rsid w:val="0014344F"/>
    <w:rsid w:val="00144668"/>
    <w:rsid w:val="00150427"/>
    <w:rsid w:val="00157683"/>
    <w:rsid w:val="001611AE"/>
    <w:rsid w:val="00175BB2"/>
    <w:rsid w:val="001771C3"/>
    <w:rsid w:val="0018576B"/>
    <w:rsid w:val="001A01CF"/>
    <w:rsid w:val="001A492D"/>
    <w:rsid w:val="001A723E"/>
    <w:rsid w:val="001B722A"/>
    <w:rsid w:val="001C2F35"/>
    <w:rsid w:val="001C3C57"/>
    <w:rsid w:val="001F5239"/>
    <w:rsid w:val="00211A6C"/>
    <w:rsid w:val="00226081"/>
    <w:rsid w:val="002262FD"/>
    <w:rsid w:val="00236CF7"/>
    <w:rsid w:val="002518F4"/>
    <w:rsid w:val="00263060"/>
    <w:rsid w:val="00263682"/>
    <w:rsid w:val="00276DBD"/>
    <w:rsid w:val="002804D0"/>
    <w:rsid w:val="00281982"/>
    <w:rsid w:val="0028696B"/>
    <w:rsid w:val="002A3479"/>
    <w:rsid w:val="002A5133"/>
    <w:rsid w:val="002A6096"/>
    <w:rsid w:val="002B6F9A"/>
    <w:rsid w:val="002C674C"/>
    <w:rsid w:val="002D3A20"/>
    <w:rsid w:val="002D7D43"/>
    <w:rsid w:val="00303A3D"/>
    <w:rsid w:val="0032101A"/>
    <w:rsid w:val="0032217D"/>
    <w:rsid w:val="0032575A"/>
    <w:rsid w:val="003310F0"/>
    <w:rsid w:val="00343668"/>
    <w:rsid w:val="00352746"/>
    <w:rsid w:val="00352ED6"/>
    <w:rsid w:val="00356194"/>
    <w:rsid w:val="00364D5A"/>
    <w:rsid w:val="00364F49"/>
    <w:rsid w:val="00373C13"/>
    <w:rsid w:val="00384970"/>
    <w:rsid w:val="00392243"/>
    <w:rsid w:val="00394041"/>
    <w:rsid w:val="003A2293"/>
    <w:rsid w:val="003A31E7"/>
    <w:rsid w:val="003A6EF0"/>
    <w:rsid w:val="003B4E08"/>
    <w:rsid w:val="003C01B0"/>
    <w:rsid w:val="003C4966"/>
    <w:rsid w:val="003D40E5"/>
    <w:rsid w:val="003E058F"/>
    <w:rsid w:val="003E3253"/>
    <w:rsid w:val="003F32E1"/>
    <w:rsid w:val="003F50BB"/>
    <w:rsid w:val="00403C22"/>
    <w:rsid w:val="0042241B"/>
    <w:rsid w:val="00424968"/>
    <w:rsid w:val="00426BFC"/>
    <w:rsid w:val="0043585A"/>
    <w:rsid w:val="00445544"/>
    <w:rsid w:val="00446C46"/>
    <w:rsid w:val="0045264F"/>
    <w:rsid w:val="00454973"/>
    <w:rsid w:val="004565B7"/>
    <w:rsid w:val="00461921"/>
    <w:rsid w:val="00466C22"/>
    <w:rsid w:val="0047356F"/>
    <w:rsid w:val="0048134B"/>
    <w:rsid w:val="00487F79"/>
    <w:rsid w:val="004A3E8A"/>
    <w:rsid w:val="004A4FFD"/>
    <w:rsid w:val="004C64B0"/>
    <w:rsid w:val="004C7265"/>
    <w:rsid w:val="004D1903"/>
    <w:rsid w:val="004D45E4"/>
    <w:rsid w:val="004E16D7"/>
    <w:rsid w:val="004E3377"/>
    <w:rsid w:val="004F24B8"/>
    <w:rsid w:val="004F38DD"/>
    <w:rsid w:val="004F4781"/>
    <w:rsid w:val="004F6727"/>
    <w:rsid w:val="00510541"/>
    <w:rsid w:val="00513E32"/>
    <w:rsid w:val="00517E56"/>
    <w:rsid w:val="0052287A"/>
    <w:rsid w:val="0053349F"/>
    <w:rsid w:val="00533ECB"/>
    <w:rsid w:val="00534B7B"/>
    <w:rsid w:val="00543C18"/>
    <w:rsid w:val="0055107E"/>
    <w:rsid w:val="00553278"/>
    <w:rsid w:val="005541F8"/>
    <w:rsid w:val="00576BAC"/>
    <w:rsid w:val="0058154E"/>
    <w:rsid w:val="00581D68"/>
    <w:rsid w:val="00581E3B"/>
    <w:rsid w:val="00583639"/>
    <w:rsid w:val="00586811"/>
    <w:rsid w:val="00595D67"/>
    <w:rsid w:val="00597480"/>
    <w:rsid w:val="005A4D7A"/>
    <w:rsid w:val="005B5551"/>
    <w:rsid w:val="005C1950"/>
    <w:rsid w:val="005C37AF"/>
    <w:rsid w:val="005C539C"/>
    <w:rsid w:val="005C653B"/>
    <w:rsid w:val="005E7A35"/>
    <w:rsid w:val="005F26B7"/>
    <w:rsid w:val="005F2C42"/>
    <w:rsid w:val="005F74C1"/>
    <w:rsid w:val="005F75EC"/>
    <w:rsid w:val="00600B1E"/>
    <w:rsid w:val="00601C21"/>
    <w:rsid w:val="00602AF8"/>
    <w:rsid w:val="00616D48"/>
    <w:rsid w:val="00630F4C"/>
    <w:rsid w:val="00657897"/>
    <w:rsid w:val="006578A3"/>
    <w:rsid w:val="00663584"/>
    <w:rsid w:val="006637A2"/>
    <w:rsid w:val="0066433A"/>
    <w:rsid w:val="006648DD"/>
    <w:rsid w:val="00664F71"/>
    <w:rsid w:val="00665E52"/>
    <w:rsid w:val="006702AA"/>
    <w:rsid w:val="00670E38"/>
    <w:rsid w:val="00675A9E"/>
    <w:rsid w:val="00691ED8"/>
    <w:rsid w:val="006A4778"/>
    <w:rsid w:val="006B0B25"/>
    <w:rsid w:val="006B7912"/>
    <w:rsid w:val="006D0F9F"/>
    <w:rsid w:val="006D1750"/>
    <w:rsid w:val="006D2209"/>
    <w:rsid w:val="006D2390"/>
    <w:rsid w:val="006D2636"/>
    <w:rsid w:val="006F23A8"/>
    <w:rsid w:val="006F5A3E"/>
    <w:rsid w:val="007140C5"/>
    <w:rsid w:val="007220C1"/>
    <w:rsid w:val="00733986"/>
    <w:rsid w:val="00760029"/>
    <w:rsid w:val="00770808"/>
    <w:rsid w:val="00776A2B"/>
    <w:rsid w:val="00780DBF"/>
    <w:rsid w:val="00783601"/>
    <w:rsid w:val="00785140"/>
    <w:rsid w:val="007944A8"/>
    <w:rsid w:val="007A7EBA"/>
    <w:rsid w:val="007B3292"/>
    <w:rsid w:val="007C404F"/>
    <w:rsid w:val="007D7B76"/>
    <w:rsid w:val="007E223A"/>
    <w:rsid w:val="007E6779"/>
    <w:rsid w:val="007F6E74"/>
    <w:rsid w:val="00800A13"/>
    <w:rsid w:val="00803484"/>
    <w:rsid w:val="008115E1"/>
    <w:rsid w:val="008152C9"/>
    <w:rsid w:val="008228A6"/>
    <w:rsid w:val="0082486C"/>
    <w:rsid w:val="00840965"/>
    <w:rsid w:val="008444F6"/>
    <w:rsid w:val="00845BDB"/>
    <w:rsid w:val="008470AB"/>
    <w:rsid w:val="00847CB0"/>
    <w:rsid w:val="008548A2"/>
    <w:rsid w:val="00855C35"/>
    <w:rsid w:val="0086463C"/>
    <w:rsid w:val="00884B7D"/>
    <w:rsid w:val="0089296C"/>
    <w:rsid w:val="0089434E"/>
    <w:rsid w:val="008A0097"/>
    <w:rsid w:val="008B3904"/>
    <w:rsid w:val="008D3B4B"/>
    <w:rsid w:val="008D5455"/>
    <w:rsid w:val="008E0F6F"/>
    <w:rsid w:val="008F5AAB"/>
    <w:rsid w:val="00901D76"/>
    <w:rsid w:val="00906C2B"/>
    <w:rsid w:val="00916C24"/>
    <w:rsid w:val="00920B91"/>
    <w:rsid w:val="00923200"/>
    <w:rsid w:val="00942B77"/>
    <w:rsid w:val="00946E0E"/>
    <w:rsid w:val="0097103D"/>
    <w:rsid w:val="00971321"/>
    <w:rsid w:val="0097270B"/>
    <w:rsid w:val="0098016D"/>
    <w:rsid w:val="00987CEE"/>
    <w:rsid w:val="00992D11"/>
    <w:rsid w:val="009A3907"/>
    <w:rsid w:val="009B1F62"/>
    <w:rsid w:val="009D614C"/>
    <w:rsid w:val="009D699B"/>
    <w:rsid w:val="009E0D7A"/>
    <w:rsid w:val="009E44CC"/>
    <w:rsid w:val="009E7F04"/>
    <w:rsid w:val="00A0261F"/>
    <w:rsid w:val="00A0327F"/>
    <w:rsid w:val="00A25C71"/>
    <w:rsid w:val="00A418F1"/>
    <w:rsid w:val="00A472FC"/>
    <w:rsid w:val="00A6122E"/>
    <w:rsid w:val="00A63FE6"/>
    <w:rsid w:val="00A665C5"/>
    <w:rsid w:val="00A6705B"/>
    <w:rsid w:val="00AA05B1"/>
    <w:rsid w:val="00AA38DC"/>
    <w:rsid w:val="00AC2EBB"/>
    <w:rsid w:val="00AC3424"/>
    <w:rsid w:val="00AC38F6"/>
    <w:rsid w:val="00AD19F2"/>
    <w:rsid w:val="00AD5FE8"/>
    <w:rsid w:val="00AE0038"/>
    <w:rsid w:val="00AF3470"/>
    <w:rsid w:val="00AF4D0F"/>
    <w:rsid w:val="00AF5528"/>
    <w:rsid w:val="00B104AF"/>
    <w:rsid w:val="00B245E6"/>
    <w:rsid w:val="00B45C4E"/>
    <w:rsid w:val="00B46EFD"/>
    <w:rsid w:val="00B4725B"/>
    <w:rsid w:val="00B52455"/>
    <w:rsid w:val="00B54C0B"/>
    <w:rsid w:val="00B630FE"/>
    <w:rsid w:val="00B63EA1"/>
    <w:rsid w:val="00B70FBD"/>
    <w:rsid w:val="00B73BE5"/>
    <w:rsid w:val="00B8411D"/>
    <w:rsid w:val="00B84D29"/>
    <w:rsid w:val="00BA64A0"/>
    <w:rsid w:val="00BB367D"/>
    <w:rsid w:val="00BB7C36"/>
    <w:rsid w:val="00BE1FEC"/>
    <w:rsid w:val="00BF284C"/>
    <w:rsid w:val="00BF2969"/>
    <w:rsid w:val="00BF49E0"/>
    <w:rsid w:val="00C047DD"/>
    <w:rsid w:val="00C120D0"/>
    <w:rsid w:val="00C22E85"/>
    <w:rsid w:val="00C33D5D"/>
    <w:rsid w:val="00C41857"/>
    <w:rsid w:val="00C52E63"/>
    <w:rsid w:val="00C57643"/>
    <w:rsid w:val="00C67086"/>
    <w:rsid w:val="00C7250D"/>
    <w:rsid w:val="00C814A4"/>
    <w:rsid w:val="00C852E2"/>
    <w:rsid w:val="00C90DAA"/>
    <w:rsid w:val="00C933FE"/>
    <w:rsid w:val="00CA1260"/>
    <w:rsid w:val="00CA1D6C"/>
    <w:rsid w:val="00CB543E"/>
    <w:rsid w:val="00CB7393"/>
    <w:rsid w:val="00CD4E89"/>
    <w:rsid w:val="00CD518B"/>
    <w:rsid w:val="00CD7A22"/>
    <w:rsid w:val="00CE1FA6"/>
    <w:rsid w:val="00CE6121"/>
    <w:rsid w:val="00CF31A7"/>
    <w:rsid w:val="00D03A02"/>
    <w:rsid w:val="00D13AE6"/>
    <w:rsid w:val="00D165EE"/>
    <w:rsid w:val="00D41139"/>
    <w:rsid w:val="00D43B23"/>
    <w:rsid w:val="00D54A56"/>
    <w:rsid w:val="00D76847"/>
    <w:rsid w:val="00D87130"/>
    <w:rsid w:val="00D95A5B"/>
    <w:rsid w:val="00D95DA2"/>
    <w:rsid w:val="00DA0A5B"/>
    <w:rsid w:val="00DB5355"/>
    <w:rsid w:val="00DC195F"/>
    <w:rsid w:val="00DC76EE"/>
    <w:rsid w:val="00DE0F90"/>
    <w:rsid w:val="00DE3BC6"/>
    <w:rsid w:val="00DE62B1"/>
    <w:rsid w:val="00E11AB7"/>
    <w:rsid w:val="00E13F84"/>
    <w:rsid w:val="00E14B66"/>
    <w:rsid w:val="00E17B66"/>
    <w:rsid w:val="00E25ED0"/>
    <w:rsid w:val="00E2608F"/>
    <w:rsid w:val="00E41EB1"/>
    <w:rsid w:val="00E4362E"/>
    <w:rsid w:val="00E5260D"/>
    <w:rsid w:val="00E56328"/>
    <w:rsid w:val="00E67645"/>
    <w:rsid w:val="00E77A33"/>
    <w:rsid w:val="00E77B82"/>
    <w:rsid w:val="00E80425"/>
    <w:rsid w:val="00E87628"/>
    <w:rsid w:val="00E97993"/>
    <w:rsid w:val="00EA2079"/>
    <w:rsid w:val="00EB175E"/>
    <w:rsid w:val="00EC4C2F"/>
    <w:rsid w:val="00EC56FA"/>
    <w:rsid w:val="00EC573C"/>
    <w:rsid w:val="00ED5523"/>
    <w:rsid w:val="00F303CC"/>
    <w:rsid w:val="00F30A1E"/>
    <w:rsid w:val="00F46FB4"/>
    <w:rsid w:val="00F55953"/>
    <w:rsid w:val="00F61ED9"/>
    <w:rsid w:val="00F64C0A"/>
    <w:rsid w:val="00F6700C"/>
    <w:rsid w:val="00F95455"/>
    <w:rsid w:val="00F956B0"/>
    <w:rsid w:val="00F97AEE"/>
    <w:rsid w:val="00FA437A"/>
    <w:rsid w:val="00FA6F81"/>
    <w:rsid w:val="00FC4054"/>
    <w:rsid w:val="00FC5F32"/>
    <w:rsid w:val="00FD2549"/>
    <w:rsid w:val="00FD7C3B"/>
    <w:rsid w:val="00FE2D4A"/>
    <w:rsid w:val="00FE5F73"/>
    <w:rsid w:val="00FF54AC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D839E6-7F83-4A3B-9ABB-68BC63D7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5C5"/>
  </w:style>
  <w:style w:type="paragraph" w:styleId="Heading1">
    <w:name w:val="heading 1"/>
    <w:basedOn w:val="Normal"/>
    <w:next w:val="Normal"/>
    <w:link w:val="Heading1Char"/>
    <w:qFormat/>
    <w:rsid w:val="00FC405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665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665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A665C5"/>
    <w:pPr>
      <w:keepNext/>
      <w:framePr w:w="2962" w:h="865" w:hSpace="180" w:wrap="auto" w:vAnchor="page" w:hAnchor="page" w:x="1162" w:y="721"/>
      <w:widowControl w:val="0"/>
      <w:outlineLvl w:val="5"/>
    </w:pPr>
    <w:rPr>
      <w:rFonts w:ascii="Aero" w:hAnsi="Aero"/>
      <w:color w:val="FF0000"/>
      <w:sz w:val="9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65C5"/>
    <w:pPr>
      <w:framePr w:w="2962" w:h="865" w:hSpace="180" w:wrap="auto" w:vAnchor="page" w:hAnchor="page" w:x="1162" w:y="721"/>
      <w:widowControl w:val="0"/>
    </w:pPr>
    <w:rPr>
      <w:rFonts w:ascii="Aero" w:hAnsi="Aero"/>
      <w:color w:val="FF0000"/>
      <w:sz w:val="40"/>
      <w:lang w:val="de-DE"/>
    </w:rPr>
  </w:style>
  <w:style w:type="paragraph" w:styleId="Header">
    <w:name w:val="header"/>
    <w:basedOn w:val="Normal"/>
    <w:rsid w:val="00A665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65C5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FC4054"/>
    <w:rPr>
      <w:rFonts w:ascii="Cambria" w:eastAsia="SimSun" w:hAnsi="Cambria" w:cs="Times New Roman"/>
      <w:b/>
      <w:bCs/>
      <w:kern w:val="32"/>
      <w:sz w:val="32"/>
      <w:szCs w:val="32"/>
      <w:lang w:val="en-US" w:eastAsia="en-US"/>
    </w:rPr>
  </w:style>
  <w:style w:type="character" w:styleId="Emphasis">
    <w:name w:val="Emphasis"/>
    <w:qFormat/>
    <w:rsid w:val="00FC4054"/>
    <w:rPr>
      <w:i/>
      <w:iCs/>
    </w:rPr>
  </w:style>
  <w:style w:type="character" w:styleId="Strong">
    <w:name w:val="Strong"/>
    <w:qFormat/>
    <w:rsid w:val="00FC4054"/>
    <w:rPr>
      <w:b/>
      <w:bCs/>
    </w:rPr>
  </w:style>
  <w:style w:type="paragraph" w:styleId="Title">
    <w:name w:val="Title"/>
    <w:basedOn w:val="Normal"/>
    <w:next w:val="Normal"/>
    <w:link w:val="TitleChar"/>
    <w:qFormat/>
    <w:rsid w:val="00FC405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C4054"/>
    <w:rPr>
      <w:rFonts w:ascii="Cambria" w:eastAsia="SimSun" w:hAnsi="Cambria" w:cs="Times New Roman"/>
      <w:b/>
      <w:bCs/>
      <w:kern w:val="28"/>
      <w:sz w:val="32"/>
      <w:szCs w:val="32"/>
      <w:lang w:val="en-US" w:eastAsia="en-US"/>
    </w:rPr>
  </w:style>
  <w:style w:type="table" w:styleId="TableGrid">
    <w:name w:val="Table Grid"/>
    <w:basedOn w:val="TableNormal"/>
    <w:rsid w:val="00B10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12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2A3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DanfossHexact5\app-5.2.28\Template\CascadeCondens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408F7-55C9-4D01-9CAF-018E835B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CascadeCondenser</Template>
  <TotalTime>6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Danfoss A/S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1</cp:revision>
  <cp:lastPrinted>2011-12-09T21:22:00Z</cp:lastPrinted>
  <dcterms:created xsi:type="dcterms:W3CDTF">2020-01-29T22:22:00Z</dcterms:created>
  <dcterms:modified xsi:type="dcterms:W3CDTF">2020-01-29T22:28:00Z</dcterms:modified>
</cp:coreProperties>
</file>