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6FDFF" w14:textId="77777777" w:rsidR="00C56D59" w:rsidRPr="009B4E69" w:rsidRDefault="00C56D59" w:rsidP="00491231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bookmarkStart w:id="0" w:name="_GoBack"/>
      <w:bookmarkEnd w:id="0"/>
      <w:r w:rsidRPr="009B4E69">
        <w:rPr>
          <w:sz w:val="52"/>
          <w:szCs w:val="52"/>
        </w:rPr>
        <w:t>Exercises: Functions and Stored Procedures</w:t>
      </w:r>
    </w:p>
    <w:p w14:paraId="6ADBBF51" w14:textId="379D707A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9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10" w:history="1">
        <w:r w:rsidRPr="00650D9D">
          <w:rPr>
            <w:rStyle w:val="Hyperlink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Heading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lastRenderedPageBreak/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Heading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r w:rsidRPr="005F4D4C">
        <w:rPr>
          <w:rStyle w:val="Strong"/>
          <w:rFonts w:ascii="Consolas" w:hAnsi="Consolas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lastRenderedPageBreak/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r w:rsidRPr="00660B1E">
        <w:rPr>
          <w:rStyle w:val="Strong"/>
          <w:rFonts w:ascii="Consolas" w:hAnsi="Consolas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</w:t>
      </w:r>
      <w:r w:rsidRPr="00EA23A9">
        <w:rPr>
          <w:rStyle w:val="Strong"/>
          <w:rFonts w:ascii="Consolas" w:hAnsi="Consolas"/>
          <w:color w:val="0E101A"/>
        </w:rPr>
        <w:t>decimal</w:t>
      </w:r>
      <w:r>
        <w:rPr>
          <w:rStyle w:val="Strong"/>
          <w:color w:val="0E101A"/>
        </w:rPr>
        <w:t>)</w:t>
      </w:r>
      <w:r>
        <w:t>, </w:t>
      </w:r>
      <w:r>
        <w:rPr>
          <w:rStyle w:val="Strong"/>
          <w:color w:val="0E101A"/>
        </w:rPr>
        <w:t>yearly interest rate (</w:t>
      </w:r>
      <w:r w:rsidRPr="00EA23A9">
        <w:rPr>
          <w:rStyle w:val="Strong"/>
          <w:rFonts w:ascii="Consolas" w:hAnsi="Consolas"/>
          <w:color w:val="0E101A"/>
        </w:rPr>
        <w:t>float</w:t>
      </w:r>
      <w:r>
        <w:rPr>
          <w:rStyle w:val="Strong"/>
          <w:color w:val="0E101A"/>
        </w:rPr>
        <w:t>)</w:t>
      </w:r>
      <w:r>
        <w:t>, and </w:t>
      </w:r>
      <w:r>
        <w:rPr>
          <w:rStyle w:val="Strong"/>
          <w:color w:val="0E101A"/>
        </w:rPr>
        <w:t>the number of years</w:t>
      </w:r>
      <w:r w:rsidR="00EA23A9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(</w:t>
      </w:r>
      <w:r w:rsidRPr="00EA23A9">
        <w:rPr>
          <w:rStyle w:val="Strong"/>
          <w:rFonts w:ascii="Consolas" w:hAnsi="Consolas"/>
          <w:color w:val="0E101A"/>
        </w:rPr>
        <w:t>int</w:t>
      </w:r>
      <w:r>
        <w:rPr>
          <w:rStyle w:val="Strong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r w:rsidRPr="001F2E0F">
        <w:rPr>
          <w:rStyle w:val="Strong"/>
          <w:rFonts w:ascii="Consolas" w:hAnsi="Consolas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Strong"/>
          <w:color w:val="0E101A"/>
        </w:rPr>
        <w:t>account id, first name, last name and current balance</w:t>
      </w:r>
      <w:r>
        <w:t> as it is shown in the example below. It should take the </w:t>
      </w:r>
      <w:r w:rsidRPr="001F2E0F">
        <w:rPr>
          <w:rStyle w:val="Strong"/>
          <w:rFonts w:ascii="Consolas" w:hAnsi="Consolas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r w:rsidRPr="001F2E0F">
        <w:rPr>
          <w:rStyle w:val="Strong"/>
          <w:rFonts w:ascii="Consolas" w:hAnsi="Consolas"/>
          <w:color w:val="0E101A"/>
        </w:rPr>
        <w:t>dbo.ufn_CalculateFutureValue</w:t>
      </w:r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Heading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</w:t>
      </w:r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</w:t>
      </w:r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</w:t>
      </w:r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lastRenderedPageBreak/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441A5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8127A" w14:textId="77777777" w:rsidR="002A0952" w:rsidRDefault="002A0952" w:rsidP="008068A2">
      <w:pPr>
        <w:spacing w:after="0" w:line="240" w:lineRule="auto"/>
      </w:pPr>
      <w:r>
        <w:separator/>
      </w:r>
    </w:p>
  </w:endnote>
  <w:endnote w:type="continuationSeparator" w:id="0">
    <w:p w14:paraId="5279CCB0" w14:textId="77777777" w:rsidR="002A0952" w:rsidRDefault="002A0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B8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B8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B8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B8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6D3E5" w14:textId="77777777" w:rsidR="002A0952" w:rsidRDefault="002A0952" w:rsidP="008068A2">
      <w:pPr>
        <w:spacing w:after="0" w:line="240" w:lineRule="auto"/>
      </w:pPr>
      <w:r>
        <w:separator/>
      </w:r>
    </w:p>
  </w:footnote>
  <w:footnote w:type="continuationSeparator" w:id="0">
    <w:p w14:paraId="06912516" w14:textId="77777777" w:rsidR="002A0952" w:rsidRDefault="002A0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4F91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720"/>
    <w:rsid w:val="0026589D"/>
    <w:rsid w:val="002664E1"/>
    <w:rsid w:val="002674C4"/>
    <w:rsid w:val="002819B5"/>
    <w:rsid w:val="002853F4"/>
    <w:rsid w:val="00292085"/>
    <w:rsid w:val="002A0952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41A5F"/>
    <w:rsid w:val="004535AB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178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77B8D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16311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025/Functions-and-Stored-Procedur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22/csharp-db-may-2024/14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F218C-B886-4EBA-A7ED-13E08B4A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2024-06-06T12:19:00Z</dcterms:created>
  <dcterms:modified xsi:type="dcterms:W3CDTF">2024-06-06T12:19:00Z</dcterms:modified>
  <cp:category>programming;education;software engineering;software development</cp:category>
</cp:coreProperties>
</file>