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A00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LG Electronics • AX Academy • Técnicas de Hyperautomation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FORMULÁRIO DE AVALIAÇÃO — PITCH PARCIAL DE AUTOMAÇÃO (PREENCHIDO)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Uso didático • Convênio INOVA | IFAM | LG Electronics do Brasil Ltda.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i/>
          <w:iCs/>
          <w:color w:val="7A0026"/>
          <w:sz w:val="20"/>
          <w:szCs w:val="20"/>
        </w:rPr>
        <w:t xml:space="preserve">Base da avaliação: </w:t>
      </w:r>
      <w:r>
        <w:rPr>
          <w:i/>
          <w:iCs/>
          <w:color w:val="4B4B4B"/>
          <w:sz w:val="20"/>
          <w:szCs w:val="20"/>
        </w:rPr>
        <w:t xml:space="preserve">conteúdo do deck slides.html (21 slides, projeto "Conferência de Lotes de Qualidade"). Avaliação de conteúdo/documentação — comunicação oral e cumprimento de tempo dependem da apresentação ao vivo e estão marcados como pendentes.</w:t>
      </w:r>
    </w:p>
    <w:p>
      <w:pPr>
        <w:spacing w:after="200"/>
      </w:pPr>
    </w:p>
    <w:p>
      <w:pPr>
        <w:pBdr>
          <w:bottom w:val="single" w:color="A50034" w:sz="6" w:space="4"/>
        </w:pBdr>
        <w:spacing w:after="150" w:before="300"/>
      </w:pPr>
      <w:r>
        <w:rPr>
          <w:b/>
          <w:bCs/>
          <w:color w:val="A50034"/>
          <w:sz w:val="30"/>
          <w:szCs w:val="30"/>
        </w:rPr>
        <w:t xml:space="preserve">1. Identificação da avaliação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Equipe avaliada: </w:t>
      </w:r>
      <w:r>
        <w:rPr>
          <w:color w:val="4B4B4B"/>
          <w:sz w:val="21"/>
          <w:szCs w:val="21"/>
        </w:rPr>
        <w:t xml:space="preserve">Equipe 04 — Fabricio Coelho, Ana Carolina, Italo Henrique, Luiz Gustavo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Equipe avaliadora: </w:t>
      </w:r>
      <w:r>
        <w:rPr>
          <w:color w:val="4B4B4B"/>
          <w:sz w:val="21"/>
          <w:szCs w:val="21"/>
        </w:rPr>
        <w:t xml:space="preserve">Autoavaliação assistida (baseada no conteúdo do deck slides.html)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Projeto / processo: </w:t>
      </w:r>
      <w:r>
        <w:rPr>
          <w:color w:val="4B4B4B"/>
          <w:sz w:val="21"/>
          <w:szCs w:val="21"/>
        </w:rPr>
        <w:t xml:space="preserve">Conferência de Lotes de Qualidade — RPA de conferência de lotes contra sistema web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Aula / semana: </w:t>
      </w:r>
      <w:r>
        <w:rPr>
          <w:color w:val="4B4B4B"/>
          <w:sz w:val="21"/>
          <w:szCs w:val="21"/>
        </w:rPr>
        <w:t xml:space="preserve">Não informado no material — a preencher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Branch / repositório: </w:t>
      </w:r>
      <w:r>
        <w:rPr>
          <w:color w:val="4B4B4B"/>
          <w:sz w:val="21"/>
          <w:szCs w:val="21"/>
        </w:rPr>
        <w:t xml:space="preserve">feature/page-objects — github.com/Ita-lodotexe/conferencia-lotes-qualidade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Data: </w:t>
      </w:r>
      <w:r>
        <w:rPr>
          <w:color w:val="4B4B4B"/>
          <w:sz w:val="21"/>
          <w:szCs w:val="21"/>
        </w:rPr>
        <w:t xml:space="preserve">10/08/2026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Início do pitch: </w:t>
      </w:r>
      <w:r>
        <w:rPr>
          <w:color w:val="4B4B4B"/>
          <w:sz w:val="21"/>
          <w:szCs w:val="21"/>
        </w:rPr>
        <w:t xml:space="preserve">A preencher na apresentação ao vivo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Término do pitch: </w:t>
      </w:r>
      <w:r>
        <w:rPr>
          <w:color w:val="4B4B4B"/>
          <w:sz w:val="21"/>
          <w:szCs w:val="21"/>
        </w:rPr>
        <w:t xml:space="preserve">A preencher na apresentação ao vivo</w:t>
      </w:r>
    </w:p>
    <w:p>
      <w:pPr>
        <w:spacing w:after="200"/>
      </w:pPr>
    </w:p>
    <w:p>
      <w:pPr>
        <w:pBdr>
          <w:bottom w:val="single" w:color="A50034" w:sz="6" w:space="4"/>
        </w:pBdr>
        <w:spacing w:after="150" w:before="300"/>
      </w:pPr>
      <w:r>
        <w:rPr>
          <w:b/>
          <w:bCs/>
          <w:color w:val="A50034"/>
          <w:sz w:val="30"/>
          <w:szCs w:val="30"/>
        </w:rPr>
        <w:t xml:space="preserve">3. Rubrica técnica do pitch parcial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01. Problema, contexto e objetivos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15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O deck (slide 2) descreve com precisão o cenário (analista de qualidade), o volume (~25 lotes/dia), o custo (2-3h/dia), as 7 regras aplicadas manualmente e a consequência de negócio (retrabalho, custo de retificação, risco de lote não conforme seguir para expedição). O slide 3 conecta isso a objetivos claros e verificáveis da automação.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5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15 / 15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Problema específico, quantificado e conectado ao impacto industrial. Não é genérico.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02. Conhecimento do processo AS-IS e TO-BE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15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AS-IS aparece como tabela de tarefas manuais x impacto (slide 2). TO-BE aparece como lista de garantias do bot (slide 3) e evolução em releases v0.1.0/v0.2.0 (slide 5). Falta, porém, um fluxo processual mais explícito (quem faz o quê, em que ordem, gargalos além do tempo) — não há BPMN nem fluxo textual passo a passo.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4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12 / 15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Bom contraste manual x automatizado, mas sem fluxo/BPMN explícito de etapas e responsáveis. Recomendo incluir um fluxo textual simples do AS-IS.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03. Qualidade técnica da solução proposta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20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Arquitetura bem detalhada: Page Object Model com 6 classes em src/pages/, dupla implementação Playwright/Selenium com interface pública idêntica (slides 7-8), camada corporativa BotCity (DataPool, Vault, artefato JSON), métricas de código (PRs, testes, linhas). Demonstra domínio técnico real, não apenas conceitual.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5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20 / 20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Nível de detalhe técnico acima da média para um pitch parcial — arquitetura, decisões de design e trade-offs explicados.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04. Regras de negócio e exceções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10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RN01-RN07 listadas com o que cada uma valida (slide 13), com resultado quantitativo sobre 25 lotes (18 conformes, 7 divergências, distribuição por regra). O slide 14 mostra ainda um achado de análise (RN08 - formato de data) tratado com rigor, diferenciando bug de escopo.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5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10 / 10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Regras testáveis, com evidência de aplicação real e tratamento explícito de caso ambíguo (RN06) e exceção não coberta (achado RN08).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05. Segurança, confiabilidade e rastreabilidade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10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Slide 16 cobre .env fora do Git, ausência de segredos no repositório, senha nunca exposta em log (testado), credenciais fictícias, evidências fora do Git, e sanitização estrita de exceções (type(e).__name__ em vez de str(e)).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5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10 / 10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Cobertura completa do critério, com prática validada por teste, não apenas declarada.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06. Demonstração e evidências parciais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10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Demo ao vivo planejada (slides 9-10) com sequência de execução, screenshot por lote e log JSON estruturado (slide 11). Evidência forense é diferenciada de log textual simples.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5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10 / 10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Evidência clara e verificável nos slides; nota final depende de a demonstração ao vivo funcionar como descrito.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07. Benefícios e indicadores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10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Comparação quantificada humano (~1 min/lote, 25-44 min/dia) vs. bot (1,75 seg/lote, ~44 segundos), redução estimada de 97%, com disclaimer honesto sobre ambiente de teste local.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5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10 / 10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Métrica numérica, premissas declaradas e ressalva sobre variação em produção — atende ao critério com folga.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08. Comunicação e organização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5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Não avaliável apenas pelo HTML: depende da fala ao vivo, divisão entre os 4 integrantes e postura. A estrutura do deck (dividers, progressão lógica, 21 slides sem poluição visual) sugere boa organização de conteúdo.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PENDENTE (estimativa 4)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4 (estimado) / 5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Nota preliminar baseada só na organização do material; confirmar durante a apresentação ao vivo com divisão de fala e postura da equipe.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5003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09. Cumprimento do tempo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|  Peso: 5 pontos</w:t>
            </w:r>
          </w:p>
        </w:tc>
      </w:tr>
    </w:tbl>
    <w:p>
      <w:pPr>
        <w:spacing w:after="60" w:before="80"/>
      </w:pPr>
      <w:r>
        <w:rPr>
          <w:b/>
          <w:bCs/>
          <w:color w:val="7A0026"/>
          <w:sz w:val="20"/>
          <w:szCs w:val="20"/>
        </w:rPr>
        <w:t xml:space="preserve">O que observamos: </w:t>
      </w:r>
      <w:r>
        <w:rPr>
          <w:color w:val="4B4B4B"/>
          <w:sz w:val="20"/>
          <w:szCs w:val="20"/>
        </w:rPr>
        <w:t xml:space="preserve">Não há registro de tempo real de apresentação no material fornecido.</w:t>
      </w:r>
    </w:p>
    <w:p>
      <w:pPr>
        <w:spacing w:after="60"/>
      </w:pPr>
      <w:r>
        <w:rPr>
          <w:b/>
          <w:bCs/>
          <w:color w:val="4B4B4B"/>
          <w:sz w:val="20"/>
          <w:szCs w:val="20"/>
        </w:rPr>
        <w:t xml:space="preserve">Nota 0-5: </w:t>
      </w:r>
      <w:r>
        <w:rPr>
          <w:color w:val="4B4B4B"/>
          <w:sz w:val="20"/>
          <w:szCs w:val="20"/>
        </w:rPr>
        <w:t xml:space="preserve">PENDENTE   </w:t>
      </w:r>
      <w:r>
        <w:rPr>
          <w:b/>
          <w:bCs/>
          <w:color w:val="4B4B4B"/>
          <w:sz w:val="20"/>
          <w:szCs w:val="20"/>
        </w:rPr>
        <w:t xml:space="preserve">Pontos ponderados: </w:t>
      </w:r>
      <w:r>
        <w:rPr>
          <w:color w:val="4B4B4B"/>
          <w:sz w:val="20"/>
          <w:szCs w:val="20"/>
        </w:rPr>
        <w:t xml:space="preserve">— / 5</w:t>
      </w:r>
    </w:p>
    <w:p>
      <w:pPr>
        <w:spacing w:after="240"/>
      </w:pPr>
      <w:r>
        <w:rPr>
          <w:b/>
          <w:bCs/>
          <w:i/>
          <w:iCs/>
          <w:color w:val="7A0026"/>
          <w:sz w:val="20"/>
          <w:szCs w:val="20"/>
        </w:rPr>
        <w:t xml:space="preserve">Evidência/Comentário: </w:t>
      </w:r>
      <w:r>
        <w:rPr>
          <w:i/>
          <w:iCs/>
          <w:color w:val="4B4B4B"/>
          <w:sz w:val="20"/>
          <w:szCs w:val="20"/>
        </w:rPr>
        <w:t xml:space="preserve">Preencher com cronômetro durante o pitch real. 21 slides pedem ensaio prévio para não estourar o tempo combinado.</w:t>
      </w:r>
    </w:p>
    <w:p>
      <w:pPr>
        <w:pBdr>
          <w:bottom w:val="single" w:color="A50034" w:sz="6" w:space="4"/>
        </w:pBdr>
        <w:spacing w:after="150" w:before="300"/>
      </w:pPr>
      <w:r>
        <w:rPr>
          <w:b/>
          <w:bCs/>
          <w:color w:val="A50034"/>
          <w:sz w:val="30"/>
          <w:szCs w:val="30"/>
        </w:rPr>
        <w:t xml:space="preserve">4. Checklist técnico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01. A equipe deixou claro qual problema industrial está sendo tratado?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Cenário, volume e custo bem definidos (slide 2).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02. A equipe explicou por que o problema é relevante para o negócio?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Retrabalho, custo de retificação e risco de expedição de lote não conforme.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03. O processo AS-IS foi apresentado com etapas, responsáveis e gargalos?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Parcialmente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Tabela de tarefas x impacto existe, mas falta fluxo/BPMN com etapas e responsáveis explícitos.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04. A proposta TO-BE mostra onde a automação entra?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Slide 3 detalha o que o bot garante; slides 7-11 mostram como.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05. As regras de negócio principais foram citadas?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RN01-RN07 detalhadas com resultado sobre 25 lotes.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06. As exceções ou casos ambíguos foram considerados?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RN06 (status ambíguo) e achado RN08 (formato de data) documentados.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07. A equipe apresentou evidência parcial: protótipo, fluxo, PDD, log, simulação ou tela?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Screenshot por lote, log JSON, 87 testes verdes, releases versionadas.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08. Há preocupação com credenciais, dados sensíveis, logs e rastreabilidade?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Slide 16 completo: Vault, .env, sanitização de exceções, credenciais fictícias.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09. Foram apresentados indicadores ou métricas esperadas?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Redução de 97% no tempo de conferência, com premissas declaradas.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10. Os próximos passos são viáveis para a fase atual do curso?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v0.3.0/v0.4.0, CI para browsers, RN08 — passos concretos e escopados.</w:t>
            </w:r>
          </w:p>
        </w:tc>
      </w:tr>
    </w:tbl>
    <w:p>
      <w:pPr>
        <w:spacing w:after="200"/>
      </w:pPr>
    </w:p>
    <w:p>
      <w:pPr>
        <w:pBdr>
          <w:bottom w:val="single" w:color="A50034" w:sz="6" w:space="4"/>
        </w:pBdr>
        <w:spacing w:after="150" w:before="300"/>
      </w:pPr>
      <w:r>
        <w:rPr>
          <w:b/>
          <w:bCs/>
          <w:color w:val="A50034"/>
          <w:sz w:val="30"/>
          <w:szCs w:val="30"/>
        </w:rPr>
        <w:t xml:space="preserve">5. Controle de tempo e penalidade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Tempo real do pitch: a preencher (cronometrar ao vivo).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Limite combinado: a confirmar com a coordenação do curso.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Penalidade aplicada: não aplicável até a apresentação ocorrer.</w:t>
      </w:r>
    </w:p>
    <w:p>
      <w:pPr>
        <w:spacing w:after="200"/>
      </w:pPr>
    </w:p>
    <w:p>
      <w:pPr>
        <w:pBdr>
          <w:bottom w:val="single" w:color="A50034" w:sz="6" w:space="4"/>
        </w:pBdr>
        <w:spacing w:after="150" w:before="300"/>
      </w:pPr>
      <w:r>
        <w:rPr>
          <w:b/>
          <w:bCs/>
          <w:color w:val="A50034"/>
          <w:sz w:val="30"/>
          <w:szCs w:val="30"/>
        </w:rPr>
        <w:t xml:space="preserve">6. Perguntas críticas para a banca — respostas já sustentadas pelo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01. Qual problema industrial está sendo resolvido e por que ele importa para a LG?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Conferência manual de ~25 lotes/dia contra sistema web, 2-3h/analista/dia, risco de lote não conforme seguir para expedição.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02. O que exatamente o bot automatizará e o que ficará fora de escopo neste ciclo?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Automatiza RN01-RN07 e geração de evidência; formato de data (RN08) fica fora do escopo atual, documentado como achado.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03. Quais regras de negócio são mais críticas para evitar erro operacional?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RN03 (existência do lote), RN06 (status ambíguo) e RN07 (observação obrigatória) concentram o maior risco de erro.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04. Como a solução tratará dados ausentes, exceções e casos ambíguos?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RN02 (campos obrigatórios), RN06 (status ambíguo → revisão) e resiliência por item (um lote defeituoso não derruba o processamento).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05. Quais evidências já existem para mostrar que a equipe avançou?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13 PRs mergeados, 87 testes verdes, 2 releases estáveis, screenshots e logs por lote.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06. Quais indicadores serão usados para medir sucesso após a automação?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Sim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Tempo por lote (1,75s vs ~1min) e % de redução (97%), com ressalva de ambiente de teste.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4B4B4B"/>
                <w:sz w:val="20"/>
                <w:szCs w:val="20"/>
              </w:rPr>
              <w:t xml:space="preserve">07. Quais riscos técnicos, operacionais ou de segurança ainda precisam ser tratados?</w:t>
            </w:r>
          </w:p>
          <w:p>
            <w:pPr>
              <w:spacing w:after="0"/>
            </w:pPr>
            <w:r>
              <w:rPr>
                <w:b/>
                <w:bCs/>
                <w:color w:val="7A0026"/>
                <w:sz w:val="20"/>
                <w:szCs w:val="20"/>
              </w:rPr>
              <w:t xml:space="preserve">Resposta: </w:t>
            </w:r>
            <w:r>
              <w:rPr>
                <w:b/>
                <w:bCs/>
                <w:color w:val="4B4B4B"/>
                <w:sz w:val="20"/>
                <w:szCs w:val="20"/>
              </w:rPr>
              <w:t xml:space="preserve">Parcialmente</w:t>
            </w:r>
            <w:r>
              <w:rPr>
                <w:i/>
                <w:iCs/>
                <w:color w:val="7A0026"/>
                <w:sz w:val="20"/>
                <w:szCs w:val="20"/>
              </w:rPr>
              <w:t xml:space="preserve">   Comentário: </w:t>
            </w:r>
            <w:r>
              <w:rPr>
                <w:i/>
                <w:iCs/>
                <w:color w:val="4B4B4B"/>
                <w:sz w:val="20"/>
                <w:szCs w:val="20"/>
              </w:rPr>
              <w:t xml:space="preserve">Riscos listados como limitações (slide 19): logs de regra que precisam melhorar, Selenium sem evidência de imagem, organização estrutural do projeto.</w:t>
            </w:r>
          </w:p>
        </w:tc>
      </w:tr>
    </w:tbl>
    <w:p>
      <w:pPr>
        <w:spacing w:after="200"/>
      </w:pPr>
    </w:p>
    <w:p>
      <w:pPr>
        <w:pBdr>
          <w:bottom w:val="single" w:color="A50034" w:sz="6" w:space="4"/>
        </w:pBdr>
        <w:spacing w:after="150" w:before="300"/>
      </w:pPr>
      <w:r>
        <w:rPr>
          <w:b/>
          <w:bCs/>
          <w:color w:val="A50034"/>
          <w:sz w:val="30"/>
          <w:szCs w:val="30"/>
        </w:rPr>
        <w:t xml:space="preserve">7. Síntese da avaliação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Subtotal da rubrica (critérios 1-7, avaliáveis pelo conteúdo do deck): 87 / 90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Critério 8 (Comunicação): 4 / 5 — estimativa preliminar, confirmar ao vivo.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Critério 9 (Tempo): pendente / 5 — sem dados de apresentação ao vivo.</w:t>
      </w:r>
    </w:p>
    <w:p>
      <w:pPr>
        <w:spacing w:after="100"/>
      </w:pPr>
      <w:r>
        <w:rPr>
          <w:b/>
          <w:bCs/>
          <w:color w:val="7A0026"/>
          <w:sz w:val="21"/>
          <w:szCs w:val="21"/>
        </w:rPr>
        <w:t xml:space="preserve">Nota estimada (parcial): </w:t>
      </w:r>
      <w:r>
        <w:rPr>
          <w:color w:val="4B4B4B"/>
          <w:sz w:val="21"/>
          <w:szCs w:val="21"/>
        </w:rPr>
        <w:t xml:space="preserve">91 / 100, sujeita a confirmação dos critérios 8 e 9 na apresentação ao vivo.</w:t>
      </w:r>
    </w:p>
    <w:p>
      <w:pPr>
        <w:spacing w:after="100"/>
      </w:pPr>
      <w:r>
        <w:rPr>
          <w:b/>
          <w:bCs/>
          <w:color w:val="7A0026"/>
          <w:sz w:val="21"/>
          <w:szCs w:val="21"/>
        </w:rPr>
        <w:t xml:space="preserve">Classificação: </w:t>
      </w:r>
      <w:r>
        <w:rPr>
          <w:color w:val="4B4B4B"/>
          <w:sz w:val="21"/>
          <w:szCs w:val="21"/>
        </w:rPr>
        <w:t xml:space="preserve">Excelente (conteúdo/documentação).</w:t>
      </w:r>
    </w:p>
    <w:p>
      <w:pPr>
        <w:spacing w:after="100"/>
      </w:pPr>
      <w:r>
        <w:rPr>
          <w:b/>
          <w:bCs/>
          <w:color w:val="7A0026"/>
          <w:sz w:val="21"/>
          <w:szCs w:val="21"/>
        </w:rPr>
        <w:t xml:space="preserve">Recomendação: </w:t>
      </w:r>
      <w:r>
        <w:rPr>
          <w:color w:val="4B4B4B"/>
          <w:sz w:val="21"/>
          <w:szCs w:val="21"/>
        </w:rPr>
        <w:t xml:space="preserve">Seguir com ajustes.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Principal força do pitch: </w:t>
      </w:r>
      <w:r>
        <w:rPr>
          <w:color w:val="4B4B4B"/>
          <w:sz w:val="21"/>
          <w:szCs w:val="21"/>
        </w:rPr>
        <w:t xml:space="preserve">Rigor técnico documentado (arquitetura POM, testes, segurança) combinado com evidência quantificada de impacto (97% de redução de tempo) e honestidade sobre limitações e achados fora de escopo.</w:t>
      </w:r>
    </w:p>
    <w:p>
      <w:pPr>
        <w:spacing w:after="60"/>
      </w:pPr>
      <w:r>
        <w:rPr>
          <w:b/>
          <w:bCs/>
          <w:color w:val="7A0026"/>
          <w:sz w:val="21"/>
          <w:szCs w:val="21"/>
        </w:rPr>
        <w:t xml:space="preserve">Principal risco identificado: </w:t>
      </w:r>
      <w:r>
        <w:rPr>
          <w:color w:val="4B4B4B"/>
          <w:sz w:val="21"/>
          <w:szCs w:val="21"/>
        </w:rPr>
        <w:t xml:space="preserve">Lacunas ainda em aberto: evidência visual do Selenium, refinamento do log de regras, organização estrutural do projeto (slide 19) — e comunicação/tempo de apresentação ainda não testados ao vivo.</w:t>
      </w:r>
    </w:p>
    <w:p>
      <w:pPr>
        <w:spacing w:after="200"/>
      </w:pPr>
    </w:p>
    <w:p>
      <w:pPr>
        <w:pBdr>
          <w:bottom w:val="single" w:color="A50034" w:sz="6" w:space="4"/>
        </w:pBdr>
        <w:spacing w:after="150" w:before="300"/>
      </w:pPr>
      <w:r>
        <w:rPr>
          <w:b/>
          <w:bCs/>
          <w:color w:val="A50034"/>
          <w:sz w:val="30"/>
          <w:szCs w:val="30"/>
        </w:rPr>
        <w:t xml:space="preserve">8. Feedback formativo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1. Incluir um fluxo textual ou BPMN simples do processo AS-IS, com responsáveis e gargalos explícitos, para fechar o critério 02 com nota máxima.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2. Ensaiar a apresentação com cronômetro — 21 slides exigem ritmo controlado para caber no tempo combinado.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3. Definir previamente a divisão de fala entre os 4 integrantes, garantindo participação equilibrada (critério 08).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4. Priorizar no roadmap a geração de evidência visual no Selenium e a melhoria do log de regras, já identificadas como limitações honestas pela própria equipe.</w:t>
      </w:r>
    </w:p>
    <w:p>
      <w:pPr>
        <w:spacing w:after="100"/>
      </w:pPr>
      <w:r>
        <w:rPr>
          <w:color w:val="4B4B4B"/>
          <w:sz w:val="21"/>
          <w:szCs w:val="21"/>
        </w:rPr>
        <w:t xml:space="preserve">5. Manter a prática de documentar achados como "achado de análise" vs. "bug" (RN08) — é um diferencial que reforça a maturidade técnica do time.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LG Electronics • AX Academy • Técnicas de Hyperautomation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Equipe 04 — Avaliação Pitch Parcial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2026-08-10T14:28:49.722Z</dcterms:created>
  <dcterms:modified xsi:type="dcterms:W3CDTF">2026-08-10T14:28:49.723Z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