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Національний технічний університет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“Київський політехнічний інститут ім. Ігоря Сікорського”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Факультет прикладної математики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Кафедра системного програмування і спеціалізованих комп’ютерних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ЛАБОРАТОРНА РОБОТА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з дисципліни “Бази даних та засоби управління”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“Проектування бази даних та ознайомлення з базовими операціями СУБД PostgreSQL”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Группа: КВ-33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Виконав: Козлов С. 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Перевірив: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firstLine="850"/>
        <w:jc w:val="center"/>
        <w:rPr/>
      </w:pPr>
      <w:bookmarkStart w:colFirst="0" w:colLast="0" w:name="_3ye18beun61j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before="0" w:lineRule="auto"/>
        <w:ind w:firstLine="709"/>
        <w:rPr/>
      </w:pPr>
      <w:bookmarkStart w:colFirst="0" w:colLast="0" w:name="_xlajj78diyok" w:id="1"/>
      <w:bookmarkEnd w:id="1"/>
      <w:r w:rsidDel="00000000" w:rsidR="00000000" w:rsidRPr="00000000">
        <w:rPr>
          <w:rtl w:val="0"/>
        </w:rPr>
        <w:t xml:space="preserve">Тема роботи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Проектування бази даних та ознайомлення з базовими операціями СУБД PostgreSQL.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before="0" w:lineRule="auto"/>
        <w:rPr/>
      </w:pPr>
      <w:bookmarkStart w:colFirst="0" w:colLast="0" w:name="_rm8y7f3o4op5" w:id="2"/>
      <w:bookmarkEnd w:id="2"/>
      <w:r w:rsidDel="00000000" w:rsidR="00000000" w:rsidRPr="00000000">
        <w:rPr>
          <w:rtl w:val="0"/>
        </w:rPr>
        <w:t xml:space="preserve">Мета роботи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Здобуття вмінь проектування бази даних та практичних навичок створення реляційних баз даних за допомогою PostgreSQL.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before="0" w:lineRule="auto"/>
        <w:rPr/>
      </w:pPr>
      <w:bookmarkStart w:colFirst="0" w:colLast="0" w:name="_s8iheqqnjjq" w:id="3"/>
      <w:bookmarkEnd w:id="3"/>
      <w:r w:rsidDel="00000000" w:rsidR="00000000" w:rsidRPr="00000000">
        <w:rPr>
          <w:rtl w:val="0"/>
        </w:rPr>
        <w:t xml:space="preserve">Контактні дані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Виконав: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Козлов Сергій Олександрович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Telegram: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@Teollan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Github: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https://github.com/Teollan/2025-bdzu-lab1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b w:val="0"/>
          <w:bCs w:val="0"/>
        </w:rPr>
      </w:pPr>
      <w:bookmarkStart w:colFirst="0" w:colLast="0" w:name="_suqka8tqu6v2" w:id="4"/>
      <w:bookmarkEnd w:id="4"/>
      <w:r w:rsidDel="00000000" w:rsidR="00000000" w:rsidRPr="00000000">
        <w:rPr>
          <w:rtl w:val="0"/>
        </w:rPr>
        <w:t xml:space="preserve">Опис предметної галузі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11ep3s49bubb" w:id="5"/>
      <w:bookmarkEnd w:id="5"/>
      <w:r w:rsidDel="00000000" w:rsidR="00000000" w:rsidRPr="00000000">
        <w:rPr>
          <w:rtl w:val="0"/>
        </w:rPr>
        <w:t xml:space="preserve">Назва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управління клієнтами для компаній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e2n27oi6g7tx" w:id="6"/>
      <w:bookmarkEnd w:id="6"/>
      <w:r w:rsidDel="00000000" w:rsidR="00000000" w:rsidRPr="00000000">
        <w:rPr>
          <w:rtl w:val="0"/>
        </w:rPr>
        <w:t xml:space="preserve">Термінологія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даній лабораторній роботі використовується термін “лід” для позначення потенційного клієнта. Хоча українськими замінниками могли б бути варіанти “потенційний клієнт” чи “заявка”, у сфері CRM-систем термін “лід” є загальноприйнятим. Він використовується у більшості комерційних CRM-систем (Bitrix24, HubSpot, AmoCRM та інші) та зрозумілий спеціалістам з маркетингу і продажів без додаткових пояснень.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Використання слова “лід” у роботі забезпечує відповідність сучасним практикам бізнес-комунікації та дозволяє уникнути неоднозначностей, які могли б виникнути при застосуванні довших або менш поширених українських аналогів.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xf6dh0mze9hd" w:id="7"/>
      <w:bookmarkEnd w:id="7"/>
      <w:r w:rsidDel="00000000" w:rsidR="00000000" w:rsidRPr="00000000">
        <w:rPr>
          <w:rtl w:val="0"/>
        </w:rPr>
        <w:t xml:space="preserve">Загальні положення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управління клієнтами для компаній (альт. CRM-система) призначена для підтримки процесів продажу та взаємодії між Компаніями і Клієнтами. Вона дозволяє створювати Ліди націлені на конкретних Клієнтів. За необхідності, Лід може бути керований одним чи кількома Менеджерами з продажів. Один Менеджер з продажів може одночасно вести декілька лідів.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Така система дозволяє бізнесу мати актуальна базу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Клієнтів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подальшої взаємодії (ретаргетинг, win-back, реферальні програми тощо). Також вона дозволяє опосередковано збирати аналітику про успішність рекламних заходів, ефективність окремих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Менеджерів з продажу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 фактичну аудиторію яку зацікавили продукти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Компанії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my3pbcdhj2ax" w:id="8"/>
      <w:bookmarkEnd w:id="8"/>
      <w:r w:rsidDel="00000000" w:rsidR="00000000" w:rsidRPr="00000000">
        <w:rPr>
          <w:rtl w:val="0"/>
        </w:rPr>
        <w:t xml:space="preserve">Сценарії використання (use cases)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Компанія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створює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націлений на потенційного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Клієнта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Компанія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наймає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Менеджерів з продажів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Компанія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призначає одного чи декількох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Менеджерів з продажу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 з продажів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контактує 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Клієнтом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його контактними даними.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 з продажів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оновлює статус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Ліда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залежності від результату взаємодії з клієнтом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r8c7lqjlqa2e" w:id="9"/>
      <w:bookmarkEnd w:id="9"/>
      <w:r w:rsidDel="00000000" w:rsidR="00000000" w:rsidRPr="00000000">
        <w:rPr>
          <w:rtl w:val="0"/>
        </w:rPr>
        <w:t xml:space="preserve">Перелік сутностей та їх призначення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Компанія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– сутність, що узагальнено описує компанію або іншу форму бізнесу. Зберігає мінімально необхідну інформацію про компанію.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Таблиця 1 – Опис атрибутів сутності 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Компанія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”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Company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Ключовий атрибут. Унікальний ідентифікатор компанії в системі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Назва компанії в зрозумілому для людини форматі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Клієнт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– </w:t>
      </w:r>
      <w:r w:rsidDel="00000000" w:rsidR="00000000" w:rsidRPr="00000000">
        <w:rPr>
          <w:rtl w:val="0"/>
        </w:rPr>
        <w:t xml:space="preserve">сутність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що узагальнено описує людину як потенційного або поточного клієнта компанії. Зберігає контактну інформацію для взаємодії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Менеджера з продажів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Клієнтом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Таблиця 2 – Опис атрибутів сутності 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Клієнт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”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220"/>
        <w:gridCol w:w="7140"/>
        <w:tblGridChange w:id="0">
          <w:tblGrid>
            <w:gridCol w:w="2220"/>
            <w:gridCol w:w="7140"/>
          </w:tblGrid>
        </w:tblGridChange>
      </w:tblGrid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Customer 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Ключовий атрибут. Унікальний ідентифікатор клієнта в системі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First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Ім’я клієнта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Прізвище клієнта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Email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Потенційний ключ. Адреса електронної пошти клієнта для зв’язку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Phone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Потенційний ключ. Номер телефону клієнта для зв’язку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*email адреса є унікальною для кожного клієнта але не є стабільною (напр. клієнт може подати запит на видалення персональних даних), що створить труднощі в підтримці БД. Тому було прийняте рішення використовувати штучний ідентифікатор Customer ID в якості ключового атрибута.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Потенційний клієнт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– сутність, що описує точку дотику (touchpoint) і пов’язану з нею взаємодію між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Компанією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Клієнтом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Для подальшої роботи з клієнтом, лід може бути призначений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Менеджеру з продажів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Таблиця 3 – Опис атрибутів сутності 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”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964"/>
        <w:gridCol w:w="7396"/>
        <w:tblGridChange w:id="0">
          <w:tblGrid>
            <w:gridCol w:w="1964"/>
            <w:gridCol w:w="73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Company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Композитний ключ. Ідентифікатор компанії, яка створила лід.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Customer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Композитний ключ. Ідентифікатор клієнта, на якого націлений лід.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Created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Композитний ключ. Часова мітка, коли сталась взаємодія між клієнтом і компанією.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Поточний статус обробки ліда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Pending: очікує призначення менеджера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 progress: в процесі взаємодії з клієнтом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Won: клієнт купив товар/послугу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Lost: клієнт відмовився від співпраці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Sales Manager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 з продажів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– сутність, що описує працівника компанії, в чиї обов’язки входить взаємодія з клієнтами.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 з продажів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відповідає за оновлення статусу призначених йому лідів.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Таблиця 4 – Опис атрибутів сутності 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 з продажів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”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2459"/>
        <w:gridCol w:w="6901"/>
        <w:tblGridChange w:id="0">
          <w:tblGrid>
            <w:gridCol w:w="2459"/>
            <w:gridCol w:w="69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72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Manager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Ключовий атрибут. Унікальний ідентифікатор менеджера в системі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Company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Ідентифікатор компанії, яка </w:t>
            </w:r>
            <w:r w:rsidDel="00000000" w:rsidR="00000000" w:rsidRPr="00000000">
              <w:rPr>
                <w:rtl w:val="0"/>
              </w:rPr>
              <w:t xml:space="preserve">винаймає менеджера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First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Ім’я менеджера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Прізвище менеджера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8p13dcxsrdcx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6zx1otxhmoj6" w:id="11"/>
      <w:bookmarkEnd w:id="11"/>
      <w:r w:rsidDel="00000000" w:rsidR="00000000" w:rsidRPr="00000000">
        <w:rPr>
          <w:rtl w:val="0"/>
        </w:rPr>
        <w:t xml:space="preserve">Опис зв’язків в моделі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Зв’язок “Компанія : Менеджер з продажів” (1:N). Компанія може винаймати необмежену кількість менеджерів з продажів. Менеджер з продажів може працювати лише в одній компанії. Даний зв’язок відображає організаційну структуру компанії та не залежить від наявності або відсутності лідів.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Зв’язок “Компанія : Лід” (1:N). Компанія може створювати необмежену кількість лідів на незалежних клієнтів. Кожен лід належить лише одній компанії та відображає окремий факт взаємодії компанії з потенційним клієнтом.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Зв’язок “Менеджер з продажів : Лід” (M:N). Один менеджер з продажів може одночасно вести декілька лідів, що є типовим у випадку асинхронної комунікації з клієнтами. Зазвичай на один лід призначається лише один менеджер, однак за певних обставин їх кількість може збільшуватись. Наприклад, під час укладання великих B2B-контрактів кілька менеджерів можуть бути залучені до роботи з одним лідом та розподіляти обов’язки між собою.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Зв’язок “Клієнт : Лід” (1:N). Лід може бути націлений лише на одного клієнта. Водночас клієнт може одночасно бути таргетованим різними компаніями і, відповідно, декількома лідами. Наприклад, клієнт може шукати “новий смартфон” на веб-сайтах Apple, Samsung та Xiaomi – у такому випадку кожна з цих компаній створює окремий лід, спрямований на одного й того ж клієнта.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e25y1ewqug9d" w:id="12"/>
      <w:bookmarkEnd w:id="12"/>
      <w:r w:rsidDel="00000000" w:rsidR="00000000" w:rsidRPr="00000000">
        <w:rPr>
          <w:rtl w:val="0"/>
        </w:rPr>
        <w:t xml:space="preserve">ER модель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sx7v7t1y94ct" w:id="13"/>
      <w:bookmarkEnd w:id="13"/>
      <w:r w:rsidDel="00000000" w:rsidR="00000000" w:rsidRPr="00000000">
        <w:rPr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Тут і далі використовується нотація “Пташина лапка” (Crow’s foot).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58205" cy="3517900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ER-діаграма предметної галузі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argxp4api0l8" w:id="14"/>
      <w:bookmarkEnd w:id="14"/>
      <w:r w:rsidDel="00000000" w:rsidR="00000000" w:rsidRPr="00000000">
        <w:rPr>
          <w:rtl w:val="0"/>
        </w:rPr>
        <w:t xml:space="preserve">Перетворення моделі на таблиці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роведемо відповідність між назвами сутностей та назвами таблиць: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Компанія → companies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Клієнт → customers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Лід → leads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Менеджер з продажів → sales_managers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Для зручності індексування і подальшого розширення БД в якості первинного ключа (PK) використовуватимемо не композитний ключ </w:t>
      </w:r>
      <w:r w:rsidDel="00000000" w:rsidR="00000000" w:rsidRPr="00000000">
        <w:rPr>
          <w:u w:val="single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a сурогатний ключ </w:t>
      </w: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Відношення companies:leads, customers:leads, companies:sales_managers мають тип 1:N, отже вводити нові таблиці не потрібно. Достатньо використати зовнішні ключі (FK). Для таблиці leads це атрибути company_id та customer_id. Для таблиці sales_managers це атрибут company_id.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Відношення sales_managers:leads має тип N:M, отже потрібно ввести додаткову таблицю sales_manager_leads.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617145" cy="536310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7145" cy="5363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Модель предметної галузі у вигляді таблиць БД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pbccv0htfifu" w:id="15"/>
      <w:bookmarkEnd w:id="15"/>
      <w:r w:rsidDel="00000000" w:rsidR="00000000" w:rsidRPr="00000000">
        <w:rPr>
          <w:rtl w:val="0"/>
        </w:rPr>
        <w:t xml:space="preserve">Нормалізація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sm1a4ril2pju" w:id="16"/>
      <w:bookmarkEnd w:id="16"/>
      <w:r w:rsidDel="00000000" w:rsidR="00000000" w:rsidRPr="00000000">
        <w:rPr>
          <w:rtl w:val="0"/>
        </w:rPr>
        <w:t xml:space="preserve">Функціональні залежності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Companies: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name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Customers: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first_name, last_name,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phone_number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first_name, last_name,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phone_number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phone_number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first_name, last_name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Leads: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status,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company_id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company_id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created_at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status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sales_managers: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first_name, last_name, company_id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sales_manager_leads: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sales_manager_id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lead_id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→ ∅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1ij2rkfb80vv" w:id="17"/>
      <w:bookmarkEnd w:id="17"/>
      <w:r w:rsidDel="00000000" w:rsidR="00000000" w:rsidRPr="00000000">
        <w:rPr>
          <w:rtl w:val="0"/>
        </w:rPr>
        <w:t xml:space="preserve">1НФ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Необхідні умови: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Кожен запис унікальний.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Кожна колонка є атомарною.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Для кожної таблиці визначено первинний ключ (PK), що забезпечує унікальність записів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Кожна колонка представляє тільки одне значення, спискові типи не використовуються</w:t>
      </w:r>
      <w:r w:rsidDel="00000000" w:rsidR="00000000" w:rsidRPr="00000000">
        <w:rPr>
          <w:rtl w:val="0"/>
        </w:rPr>
        <w:t xml:space="preserve">. Це забезпечує атомарність записів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Отже, таблиці нормалізовані до 1НФ.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d6s1rmq5yeoq" w:id="18"/>
      <w:bookmarkEnd w:id="18"/>
      <w:r w:rsidDel="00000000" w:rsidR="00000000" w:rsidRPr="00000000">
        <w:rPr>
          <w:rtl w:val="0"/>
        </w:rPr>
        <w:t xml:space="preserve">2НФ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Необхідні умови: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Таблиці нормалізовані до 1НФ.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Кожен неключовий атрибут функціонально залежить від ключа.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2НФ актуальна тільки для композитних ключів, тому потрібно перевірити тільки таблиці leads та sales_manager_leads.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Таблиця sales_manager_leads має тільки ключові атрибути, отже умови 2НФ тривіально задовольняються.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Таблиця leads має тільки один неключовий атрибут status, який залежить від всіх компонентів композитного ключа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company_id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created_at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Отже, таблиці нормалізовані до 2НФ.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wlthr8v88y5s" w:id="19"/>
      <w:bookmarkEnd w:id="19"/>
      <w:r w:rsidDel="00000000" w:rsidR="00000000" w:rsidRPr="00000000">
        <w:rPr>
          <w:rtl w:val="0"/>
        </w:rPr>
        <w:t xml:space="preserve">3НФ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Необхідні умови: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Таблиці нормалізовані до 2НФ.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Немає транзитивних залежностей неключових атрибутів у межах однієї таблиці.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Проаналізувавши ФЗ очевидно, що транзитивні залежності від неключових атрибутів відсутні у всіх таблицях.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Отже, таблиці нормалізовані до 3НФ.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ind w:left="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m9t704xnvnak" w:id="20"/>
      <w:bookmarkEnd w:id="20"/>
      <w:r w:rsidDel="00000000" w:rsidR="00000000" w:rsidRPr="00000000">
        <w:rPr>
          <w:rtl w:val="0"/>
        </w:rPr>
        <w:t xml:space="preserve">Робота з pgAdmin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ind w:left="720" w:firstLine="0"/>
        <w:rPr/>
      </w:pPr>
      <w:bookmarkStart w:colFirst="0" w:colLast="0" w:name="_d28tyeilrecv" w:id="21"/>
      <w:bookmarkEnd w:id="21"/>
      <w:r w:rsidDel="00000000" w:rsidR="00000000" w:rsidRPr="00000000">
        <w:rPr>
          <w:rtl w:val="0"/>
        </w:rPr>
        <w:t xml:space="preserve">Приклад роботи з редактором таблиць pgAdmin 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16295" cy="364871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364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Конфігурація таблиці “leads” через інтерфейс pgAdmin 4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hglcqjslx23" w:id="22"/>
      <w:bookmarkEnd w:id="22"/>
      <w:r w:rsidDel="00000000" w:rsidR="00000000" w:rsidRPr="00000000">
        <w:rPr>
          <w:rtl w:val="0"/>
        </w:rPr>
        <w:t xml:space="preserve">Деталі реалізації таблиць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000750" cy="85153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851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 – Конфігурація таблиці “companies”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019800" cy="135636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56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5 – Конфігурація таблиці “customers”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038850" cy="140589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405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 – Конфігурація таблиці “leads”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057900" cy="98234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982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7 – Конфігурація таблиці “sales_managers”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rus65wxvl9fn" w:id="23"/>
      <w:bookmarkEnd w:id="23"/>
      <w:r w:rsidDel="00000000" w:rsidR="00000000" w:rsidRPr="00000000">
        <w:rPr>
          <w:rtl w:val="0"/>
        </w:rPr>
        <w:t xml:space="preserve">Дані, внесені до таблиць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847975" cy="16192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8 – Дані таблиці “companies”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2954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9 – Дані таблиці “customers”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1562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10 – Дані таблиці “leads”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219700" cy="2286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11 – Дані таблиці “sales_managers”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562225" cy="13144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12 – Дані таблиці “sales_manager_leads”</w:t>
      </w:r>
    </w:p>
    <w:sectPr>
      <w:headerReference r:id="rId20" w:type="default"/>
      <w:headerReference r:id="rId21" w:type="first"/>
      <w:headerReference r:id="rId22" w:type="even"/>
      <w:footerReference r:id="rId23" w:type="first"/>
      <w:footerReference r:id="rId24" w:type="even"/>
      <w:pgSz w:h="15840" w:w="12240" w:orient="portrait"/>
      <w:pgMar w:bottom="1440" w:top="1417" w:left="1417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72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Київ - 2025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72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720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720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720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720"/>
      <w:jc w:val="both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720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720"/>
      <w:jc w:val="both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6.png"/><Relationship Id="rId22" Type="http://schemas.openxmlformats.org/officeDocument/2006/relationships/header" Target="header1.xml"/><Relationship Id="rId10" Type="http://schemas.openxmlformats.org/officeDocument/2006/relationships/image" Target="media/image12.png"/><Relationship Id="rId21" Type="http://schemas.openxmlformats.org/officeDocument/2006/relationships/header" Target="header3.xml"/><Relationship Id="rId13" Type="http://schemas.openxmlformats.org/officeDocument/2006/relationships/image" Target="media/image9.png"/><Relationship Id="rId24" Type="http://schemas.openxmlformats.org/officeDocument/2006/relationships/footer" Target="footer1.xml"/><Relationship Id="rId12" Type="http://schemas.openxmlformats.org/officeDocument/2006/relationships/image" Target="media/image7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yperlink" Target="https://t.me/Teollan" TargetMode="External"/><Relationship Id="rId18" Type="http://schemas.openxmlformats.org/officeDocument/2006/relationships/image" Target="media/image8.png"/><Relationship Id="rId7" Type="http://schemas.openxmlformats.org/officeDocument/2006/relationships/hyperlink" Target="https://github.com/Teollan/2025-bdzu-lab1" TargetMode="External"/><Relationship Id="rId8" Type="http://schemas.openxmlformats.org/officeDocument/2006/relationships/image" Target="media/image1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