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left"/>
      </w:pPr>
      <w:r>
        <w:rPr>
          <w:rFonts w:ascii="Times New Roman" w:cs="Times New Roman" w:eastAsia="Times New Roman" w:hAnsi="Times New Roman"/>
          <w:b w:val="false"/>
          <w:bCs w:val="false"/>
          <w:i w:val="false"/>
          <w:iCs w:val="false"/>
          <w:sz w:val="24"/>
          <w:szCs w:val="24"/>
        </w:rPr>
        <w:t xml:space="preserve"/>
      </w:r>
    </w:p>
    <w:p>
      <w:pPr>
        <w:spacing w:after="60" w:before="0"/>
        <w:jc w:val="center"/>
      </w:pPr>
      <w:r>
        <w:rPr>
          <w:rFonts w:ascii="Times New Roman" w:cs="Times New Roman" w:eastAsia="Times New Roman" w:hAnsi="Times New Roman"/>
          <w:b/>
          <w:bCs/>
          <w:i w:val="false"/>
          <w:iCs w:val="false"/>
          <w:sz w:val="28"/>
          <w:szCs w:val="28"/>
        </w:rPr>
        <w:t xml:space="preserve">UNIVERSIDAD DE BUENOS AIRES</w:t>
      </w:r>
    </w:p>
    <w:p>
      <w:pPr>
        <w:spacing w:after="600" w:before="0"/>
        <w:jc w:val="center"/>
      </w:pPr>
      <w:r>
        <w:rPr>
          <w:rFonts w:ascii="Times New Roman" w:cs="Times New Roman" w:eastAsia="Times New Roman" w:hAnsi="Times New Roman"/>
          <w:b/>
          <w:bCs/>
          <w:i w:val="false"/>
          <w:iCs w:val="false"/>
          <w:sz w:val="28"/>
          <w:szCs w:val="28"/>
        </w:rPr>
        <w:t xml:space="preserve">FACULTAD DE CIENCIAS ECONÓMICAS</w:t>
      </w:r>
    </w:p>
    <w:p>
      <w:pPr>
        <w:spacing w:after="360" w:before="0"/>
        <w:jc w:val="center"/>
      </w:pPr>
      <w:r>
        <w:rPr>
          <w:rFonts w:ascii="Times New Roman" w:cs="Times New Roman" w:eastAsia="Times New Roman" w:hAnsi="Times New Roman"/>
          <w:b/>
          <w:bCs/>
          <w:i w:val="false"/>
          <w:iCs w:val="false"/>
          <w:sz w:val="26"/>
          <w:szCs w:val="26"/>
        </w:rPr>
        <w:t xml:space="preserve">Trabajo Práctico N°2</w:t>
      </w:r>
    </w:p>
    <w:p>
      <w:pPr>
        <w:spacing w:after="600"/>
        <w:jc w:val="center"/>
      </w:pPr>
      <w:r>
        <w:drawing>
          <wp:inline distT="0" distB="0" distL="0" distR="0">
            <wp:extent cx="3238500" cy="1238250"/>
            <wp:effectExtent t="0" r="0" b="0" l="0"/>
            <wp:docPr id="1" name="logo" descr="Logo Pampazon S.A." title="Pampa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238250"/>
                    </a:xfrm>
                    <a:prstGeom prst="rect">
                      <a:avLst/>
                    </a:prstGeom>
                  </pic:spPr>
                </pic:pic>
              </a:graphicData>
            </a:graphic>
          </wp:inline>
        </w:drawing>
      </w:r>
    </w:p>
    <w:p>
      <w:pPr>
        <w:spacing w:after="120"/>
      </w:pPr>
      <w:r>
        <w:rPr>
          <w:rFonts w:ascii="Times New Roman" w:cs="Times New Roman" w:eastAsia="Times New Roman" w:hAnsi="Times New Roman"/>
          <w:b/>
          <w:bCs/>
          <w:i w:val="false"/>
          <w:iCs w:val="false"/>
          <w:sz w:val="24"/>
          <w:szCs w:val="24"/>
        </w:rPr>
        <w:t xml:space="preserve">Cátedra: </w:t>
      </w:r>
      <w:r>
        <w:rPr>
          <w:rFonts w:ascii="Times New Roman" w:cs="Times New Roman" w:eastAsia="Times New Roman" w:hAnsi="Times New Roman"/>
          <w:b w:val="false"/>
          <w:bCs w:val="false"/>
          <w:i w:val="false"/>
          <w:iCs w:val="false"/>
          <w:sz w:val="24"/>
          <w:szCs w:val="24"/>
        </w:rPr>
        <w:t xml:space="preserve">Alejandro Luis Méndez Cerezuela</w:t>
      </w:r>
    </w:p>
    <w:p>
      <w:pPr>
        <w:spacing w:after="120"/>
      </w:pPr>
      <w:r>
        <w:rPr>
          <w:rFonts w:ascii="Times New Roman" w:cs="Times New Roman" w:eastAsia="Times New Roman" w:hAnsi="Times New Roman"/>
          <w:b/>
          <w:bCs/>
          <w:i w:val="false"/>
          <w:iCs w:val="false"/>
          <w:sz w:val="24"/>
          <w:szCs w:val="24"/>
        </w:rPr>
        <w:t xml:space="preserve">Profesor: </w:t>
      </w:r>
      <w:r>
        <w:rPr>
          <w:rFonts w:ascii="Times New Roman" w:cs="Times New Roman" w:eastAsia="Times New Roman" w:hAnsi="Times New Roman"/>
          <w:b w:val="false"/>
          <w:bCs w:val="false"/>
          <w:i w:val="false"/>
          <w:iCs w:val="false"/>
          <w:sz w:val="24"/>
          <w:szCs w:val="24"/>
        </w:rPr>
        <w:t xml:space="preserve">Alejandro Luis Méndez Cerezuela</w:t>
      </w:r>
    </w:p>
    <w:p>
      <w:pPr>
        <w:spacing w:after="480"/>
      </w:pPr>
      <w:r>
        <w:rPr>
          <w:rFonts w:ascii="Times New Roman" w:cs="Times New Roman" w:eastAsia="Times New Roman" w:hAnsi="Times New Roman"/>
          <w:b/>
          <w:bCs/>
          <w:i w:val="false"/>
          <w:iCs w:val="false"/>
          <w:sz w:val="24"/>
          <w:szCs w:val="24"/>
        </w:rPr>
        <w:t xml:space="preserve">Profesor Ayudante: </w:t>
      </w:r>
      <w:r>
        <w:rPr>
          <w:rFonts w:ascii="Times New Roman" w:cs="Times New Roman" w:eastAsia="Times New Roman" w:hAnsi="Times New Roman"/>
          <w:b w:val="false"/>
          <w:bCs w:val="false"/>
          <w:i w:val="false"/>
          <w:iCs w:val="false"/>
          <w:sz w:val="24"/>
          <w:szCs w:val="24"/>
        </w:rPr>
        <w:t xml:space="preserve">Andrés Panitsch</w:t>
      </w:r>
    </w:p>
    <w:p>
      <w:pPr>
        <w:spacing w:after="120" w:before="0"/>
        <w:jc w:val="left"/>
      </w:pPr>
      <w:r>
        <w:rPr>
          <w:rFonts w:ascii="Times New Roman" w:cs="Times New Roman" w:eastAsia="Times New Roman" w:hAnsi="Times New Roman"/>
          <w:b/>
          <w:bCs/>
          <w:i w:val="false"/>
          <w:iCs w:val="false"/>
          <w:sz w:val="24"/>
          <w:szCs w:val="24"/>
          <w:u w:val="single"/>
        </w:rPr>
        <w:t xml:space="preserve">Integrantes del grupo:</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Bruno Etchevers - 911205</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Giuliana Di siervi – 909631 (Líder)</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Candela Correa – 913030</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Teo Mantecon – 904714</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Lucio Majewski – 912473</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Brayan Martínez – 902150</w:t>
      </w:r>
    </w:p>
    <w:p>
      <w:pPr>
        <w:sectPr>
          <w:headerReference w:type="default" r:id="rId7"/>
          <w:pgSz w:w="11906" w:h="16838" w:orient="portrait"/>
          <w:pgMar w:top="1418" w:right="1134" w:bottom="1134" w:left="1134" w:header="500" w:footer="708" w:gutter="0"/>
          <w:pgNumType/>
          <w:docGrid w:linePitch="360"/>
        </w:sectPr>
      </w:pPr>
    </w:p>
    <w:p>
      <w:pPr>
        <w:spacing w:after="120" w:before="120"/>
        <w:jc w:val="both"/>
      </w:pPr>
      <w:r>
        <w:rPr>
          <w:rFonts w:ascii="Times New Roman" w:cs="Times New Roman" w:eastAsia="Times New Roman" w:hAnsi="Times New Roman"/>
          <w:b w:val="false"/>
          <w:bCs w:val="false"/>
          <w:i w:val="false"/>
          <w:iCs w:val="false"/>
          <w:sz w:val="24"/>
          <w:szCs w:val="24"/>
          <w:u w:val="single"/>
        </w:rPr>
        <w:t xml:space="preserve">TAREA PARA REALIZAR:</w:t>
      </w:r>
    </w:p>
    <w:p>
      <w:pPr>
        <w:spacing w:after="120" w:before="120"/>
        <w:jc w:val="both"/>
      </w:pPr>
      <w:r>
        <w:rPr>
          <w:rFonts w:ascii="Times New Roman" w:cs="Times New Roman" w:eastAsia="Times New Roman" w:hAnsi="Times New Roman"/>
          <w:b w:val="false"/>
          <w:bCs w:val="false"/>
          <w:i w:val="false"/>
          <w:iCs w:val="false"/>
          <w:sz w:val="24"/>
          <w:szCs w:val="24"/>
        </w:rPr>
        <w:t xml:space="preserve">1.Elaborar un DFD del nivel 1 del “Sistema” como expansión primaria del Diagrama de Contexto entregado en el TP 1.</w:t>
      </w:r>
    </w:p>
    <w:p>
      <w:pPr>
        <w:spacing w:after="120" w:before="120"/>
        <w:jc w:val="both"/>
      </w:pPr>
      <w:r>
        <w:rPr>
          <w:rFonts w:ascii="Times New Roman" w:cs="Times New Roman" w:eastAsia="Times New Roman" w:hAnsi="Times New Roman"/>
          <w:b w:val="false"/>
          <w:bCs w:val="false"/>
          <w:i w:val="false"/>
          <w:iCs w:val="false"/>
          <w:sz w:val="24"/>
          <w:szCs w:val="24"/>
        </w:rPr>
        <w:t xml:space="preserve">Tener en consideración que el DC y, especialmente, el DFD1 nos determinarán el alcance esperado del sistema a desarrollar.</w:t>
      </w:r>
    </w:p>
    <w:p>
      <w:pPr>
        <w:pStyle w:val="Heading2"/>
        <w:keepNext/>
        <w:spacing w:after="140" w:before="300"/>
      </w:pPr>
      <w:r>
        <w:rPr>
          <w:rFonts w:ascii="Aptos Display" w:cs="Aptos Display" w:eastAsia="Aptos Display" w:hAnsi="Aptos Display"/>
          <w:b/>
          <w:bCs/>
          <w:i w:val="false"/>
          <w:iCs w:val="false"/>
          <w:color w:val="0F4761"/>
          <w:sz w:val="30"/>
          <w:szCs w:val="30"/>
        </w:rPr>
        <w:t xml:space="preserve">1. Subsistemas del DFD 1</w:t>
      </w:r>
    </w:p>
    <w:p>
      <w:pPr>
        <w:spacing w:after="120" w:before="60"/>
      </w:pPr>
      <w:r>
        <w:rPr>
          <w:rFonts w:ascii="Arial" w:cs="Arial" w:eastAsia="Arial" w:hAnsi="Arial"/>
          <w:b w:val="false"/>
          <w:bCs w:val="false"/>
          <w:i w:val="false"/>
          <w:iCs w:val="false"/>
          <w:sz w:val="22"/>
          <w:szCs w:val="22"/>
        </w:rPr>
        <w:t xml:space="preserve">El Sistema de gestión integral Pampazon S.A. se abre en 6 subsistemas: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200"/>
      </w:tblGrid>
      <w:tr>
        <w:trPr>
          <w:tblHeader/>
        </w:trPr>
        <w:tc>
          <w:tcPr>
            <w:tcW w:type="dxa" w:w="7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left"/>
            </w:pPr>
            <w:r>
              <w:rPr>
                <w:rFonts w:ascii="Arial" w:cs="Arial" w:eastAsia="Arial" w:hAnsi="Arial"/>
                <w:b/>
                <w:bCs/>
                <w:i w:val="false"/>
                <w:iCs w:val="false"/>
                <w:color w:val="FFFFFF"/>
                <w:sz w:val="17"/>
                <w:szCs w:val="17"/>
              </w:rPr>
              <w:t xml:space="preserve">Ref</w:t>
            </w:r>
          </w:p>
        </w:tc>
        <w:tc>
          <w:tcPr>
            <w:tcW w:type="dxa" w:w="24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left"/>
            </w:pPr>
            <w:r>
              <w:rPr>
                <w:rFonts w:ascii="Arial" w:cs="Arial" w:eastAsia="Arial" w:hAnsi="Arial"/>
                <w:b/>
                <w:bCs/>
                <w:i w:val="false"/>
                <w:iCs w:val="false"/>
                <w:color w:val="FFFFFF"/>
                <w:sz w:val="17"/>
                <w:szCs w:val="17"/>
              </w:rPr>
              <w:t xml:space="preserve">Subsistema</w:t>
            </w:r>
          </w:p>
        </w:tc>
        <w:tc>
          <w:tcPr>
            <w:tcW w:type="dxa" w:w="52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left"/>
            </w:pPr>
            <w:r>
              <w:rPr>
                <w:rFonts w:ascii="Arial" w:cs="Arial" w:eastAsia="Arial" w:hAnsi="Arial"/>
                <w:b/>
                <w:bCs/>
                <w:i w:val="false"/>
                <w:iCs w:val="false"/>
                <w:color w:val="FFFFFF"/>
                <w:sz w:val="17"/>
                <w:szCs w:val="17"/>
              </w:rPr>
              <w:t xml:space="preserve">Alcance</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Gestión Operativa de Depósitos</w:t>
            </w:r>
          </w:p>
        </w:tc>
        <w:tc>
          <w:tcPr>
            <w:tcW w:type="dxa" w:w="5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both"/>
            </w:pPr>
            <w:r>
              <w:rPr>
                <w:rFonts w:ascii="Arial" w:cs="Arial" w:eastAsia="Arial" w:hAnsi="Arial"/>
                <w:b w:val="false"/>
                <w:bCs w:val="false"/>
                <w:i w:val="false"/>
                <w:iCs w:val="false"/>
                <w:sz w:val="17"/>
                <w:szCs w:val="17"/>
              </w:rPr>
              <w:t xml:space="preserve">Administra la recepción (In), la guarda en m³, la preparación de pedidos (Out y Fulfillment), roturas y traslados en los depósitos.</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B</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Gestión Comercial</w:t>
            </w:r>
          </w:p>
        </w:tc>
        <w:tc>
          <w:tcPr>
            <w:tcW w:type="dxa" w:w="5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both"/>
            </w:pPr>
            <w:r>
              <w:rPr>
                <w:rFonts w:ascii="Arial" w:cs="Arial" w:eastAsia="Arial" w:hAnsi="Arial"/>
                <w:b w:val="false"/>
                <w:bCs w:val="false"/>
                <w:i w:val="false"/>
                <w:iCs w:val="false"/>
                <w:sz w:val="17"/>
                <w:szCs w:val="17"/>
              </w:rPr>
              <w:t xml:space="preserve">Gestiona la prospección, cotización, suscripción de contratos de arrendamiento por m³, alta de SKU y atención de reclamos.</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C</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Administración Financiera</w:t>
            </w:r>
          </w:p>
        </w:tc>
        <w:tc>
          <w:tcPr>
            <w:tcW w:type="dxa" w:w="5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both"/>
            </w:pPr>
            <w:r>
              <w:rPr>
                <w:rFonts w:ascii="Arial" w:cs="Arial" w:eastAsia="Arial" w:hAnsi="Arial"/>
                <w:b w:val="false"/>
                <w:bCs w:val="false"/>
                <w:i w:val="false"/>
                <w:iCs w:val="false"/>
                <w:sz w:val="17"/>
                <w:szCs w:val="17"/>
              </w:rPr>
              <w:t xml:space="preserve">Consolida cargos fijos y variables, emite la facturación electrónica (ARCA), gestiona cobranzas, pagos a proveedores, alquileres y bancos, y la relación con la aseguradora (pólizas y siniestros).</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Gestión de RRHH</w:t>
            </w:r>
          </w:p>
        </w:tc>
        <w:tc>
          <w:tcPr>
            <w:tcW w:type="dxa" w:w="5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Administra legajos de empleados, asistencias, novedades laborales, liquidación de haberes y aportes previsionales.</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E</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Gestión de Compras e infraestructura</w:t>
            </w:r>
          </w:p>
        </w:tc>
        <w:tc>
          <w:tcPr>
            <w:tcW w:type="dxa" w:w="5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both"/>
            </w:pPr>
            <w:r>
              <w:rPr>
                <w:rFonts w:ascii="Arial" w:cs="Arial" w:eastAsia="Arial" w:hAnsi="Arial"/>
                <w:b w:val="false"/>
                <w:bCs w:val="false"/>
                <w:i w:val="false"/>
                <w:iCs w:val="false"/>
                <w:sz w:val="17"/>
                <w:szCs w:val="17"/>
              </w:rPr>
              <w:t xml:space="preserve">Maneja la relación con proveedores, el mantenimiento operativo, el alta de depósitos y posiciones, y el alquiler de depósitos regionales.</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F</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Planificación, Políticas y Control de Gestión</w:t>
            </w:r>
          </w:p>
        </w:tc>
        <w:tc>
          <w:tcPr>
            <w:tcW w:type="dxa" w:w="5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Define reglas de negocio, presupuesto y planes de expansión, y consolida los reportes e indicadores de gestión.</w:t>
            </w:r>
          </w:p>
        </w:tc>
      </w:tr>
    </w:tbl>
    <w:p>
      <w:pPr>
        <w:spacing w:after="120"/>
      </w:pPr>
    </w:p>
    <w:p>
      <w:pPr>
        <w:pStyle w:val="Heading2"/>
        <w:keepNext/>
        <w:spacing w:after="140" w:before="300"/>
      </w:pPr>
      <w:r>
        <w:rPr>
          <w:rFonts w:ascii="Aptos Display" w:cs="Aptos Display" w:eastAsia="Aptos Display" w:hAnsi="Aptos Display"/>
          <w:b/>
          <w:bCs/>
          <w:i w:val="false"/>
          <w:iCs w:val="false"/>
          <w:color w:val="0F4761"/>
          <w:sz w:val="30"/>
          <w:szCs w:val="30"/>
        </w:rPr>
        <w:t xml:space="preserve">1.1 DFD1</w:t>
      </w:r>
    </w:p>
    <w:p>
      <w:pPr>
        <w:pStyle w:val="Heading2"/>
        <w:keepNext/>
        <w:spacing w:after="140" w:before="300"/>
      </w:pPr>
      <w:r>
        <w:rPr>
          <w:rFonts w:ascii="Aptos Display" w:cs="Aptos Display" w:eastAsia="Aptos Display" w:hAnsi="Aptos Display"/>
          <w:b/>
          <w:bCs/>
          <w:i w:val="false"/>
          <w:iCs w:val="false"/>
          <w:color w:val="0F4761"/>
          <w:sz w:val="30"/>
          <w:szCs w:val="30"/>
        </w:rPr>
        <w:t xml:space="preserve">2. Flujos de datos por terminal</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600"/>
        <w:gridCol w:w="3800"/>
      </w:tblGrid>
      <w:tr>
        <w:trPr>
          <w:tblHeader/>
        </w:trPr>
        <w:tc>
          <w:tcPr>
            <w:tcW w:type="dxa" w:w="30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TERMINAL</w:t>
            </w:r>
          </w:p>
        </w:tc>
        <w:tc>
          <w:tcPr>
            <w:tcW w:type="dxa" w:w="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REF</w:t>
            </w:r>
          </w:p>
        </w:tc>
        <w:tc>
          <w:tcPr>
            <w:tcW w:type="dxa" w:w="56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FLUJOS</w:t>
            </w:r>
          </w:p>
        </w:tc>
        <w:tc>
          <w:tcPr>
            <w:tcW w:type="dxa" w:w="3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SUBSISTEMA QUE LO GESTIONA</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 CLIENTE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Solicitud de cotización de servicios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B. GESTIÓN COMERCIAL</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1.2</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Propuesta comercial y condiciones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B. GESTIÓN COMERCIAL</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1.3</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Contrato suscripto y declaración de licitud</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B. GESTIÓN COMERCIAL</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1.4</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Declaración de tipos de producto / SKU</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B. GESTIÓN COMERCIAL</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1.5</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Nomenclador y SKU asignados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B. GESTIÓN COMERCIAL</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1.6</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preparación</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 GESTIÓN OPERATIVA DE DEPÓSITOS</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1.7</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Notificación de espacio insuficiente</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B. GESTIÓN COMERCIAL</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1.8</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Notificación de diferencias de recepción</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B. GESTIÓN COMERCIAL</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1.9</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Notificación de bajas por rotura</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B. GESTIÓN COMERCIAL</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1.10</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Notificación de faltante para traslado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B. GESTIÓN COMERCIAL</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1.11</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Consulta de stock y estado de órdenes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B. GESTIÓN COMERCIAL</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1.12</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Informe de stock y estado de órdenes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B. GESTIÓN COMERCIAL</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1.13</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Reclamo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B. GESTIÓN COMERCIAL</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1.14</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Resolución de reclamo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B. GESTIÓN COMERCIAL</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1.15</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Factura mensual de servicios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1.16</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Pago del cliente</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 TRANSPORTISTA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Identificación y autorización de transportista</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 GESTIÓN OPERATIVA DE DEPÓSITOS</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2.2</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Identificación de bultos recibidos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 GESTIÓN OPERATIVA DE DEPÓSITOS</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2.3</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del cliente por ingreso de mercadería</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 GESTIÓN OPERATIVA DE DEPÓSITOS</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2.4</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Copia conformada del remito de ingreso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 GESTIÓN OPERATIVA DE DEPÓSITOS</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2.5</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Nota de diferencias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 GESTIÓN OPERATIVA DE DEPÓSITOS</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2.6</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Nota de espacio insuficiente</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 GESTIÓN OPERATIVA DE DEPÓSITOS</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2.7</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Autorización de salida de transporte</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 GESTIÓN OPERATIVA DE DEPÓSITOS</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2.8</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preparación</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 GESTIÓN OPERATIVA DE DEPÓSITOS</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2.9</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Remito de entrega de mercaderías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 GESTIÓN OPERATIVA DE DEPÓSITOS</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2.10</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 entrega conformado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 GESTIÓN OPERATIVA DE DEPÓSITOS</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 ACCIONISTAS / DIRECTORIO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3.1</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Lineamientos estratégicos y políticas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F. PLANIFICACIÓN, POLÍTICAS Y CONTROL DE GESTIÓN</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3.2</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Plan de expansión e inversiones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F. PLANIFICACIÓN, POLÍTICAS Y CONTROL DE GESTIÓN</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3.3</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Presupuesto aprobado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F. PLANIFICACIÓN, POLÍTICAS Y CONTROL DE GESTIÓN</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3.4</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Reportes de gestión, métricas e indicadores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F. PLANIFICACIÓN, POLÍTICAS Y CONTROL DE GESTIÓN</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3.5</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Estados contables y resultados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 PROVEEDOR</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4.1</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Solicitud de cotización</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GESTIÓN DE COMPRAS E INFRAESTRUCTURA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4.2</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Cotización</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GESTIÓN DE COMPRAS E INFRAESTRUCTURA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4.3</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Orden de compra</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GESTIÓN DE COMPRAS E INFRAESTRUCTURA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4.4</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del proveedor</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GESTIÓN DE COMPRAS E INFRAESTRUCTURA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4.5</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Factura del proveedor</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GESTIÓN DE COMPRAS E INFRAESTRUCTURA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4.6</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Pago a proveedor</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4.7</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Factura de alquiler</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GESTIÓN DE COMPRAS E INFRAESTRUCTURA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4.8</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Comprobante de pago de alquileres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 ASEGURADORA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5.1</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Declaración de bienes asegurados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GESTIÓN DE COMPRAS E INFRAESTRUCTURA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5.2</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Póliza y condiciones de cobertura</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GESTIÓN DE COMPRAS E INFRAESTRUCTURA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5.3</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Denuncia de siniestro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 GESTIÓN OPERATIVA DE DEPÓSITOS</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5.4</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Resolución de siniestro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 GESTIÓN OPERATIVA DE DEPÓSITOS</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5.5</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Liquidación de siniestro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5.6</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Factura de servicio de seguro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5.7</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Pago prima de seguro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 ARCA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6.1</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Solicitud de autorización de comprobante</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6.2</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CAE con fecha de vencimiento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6.3</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Constancia de impuestos dados de alta</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6.4</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Declaraciones juradas impositivas y de seguridad social</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6.5</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Acuse de presentación</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6.6</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Pago de impuestos y aportes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6.7</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Requerimientos, intimaciones y órdenes de fiscalización</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6.8</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Respuesta a requerimientos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 ENTIDAD FINANCIERA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7.1</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Depósito de cobranzas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7.2</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Comprobantes de pago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7.3</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Pago de haberes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7.4</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Solicitud de débito directo al cliente</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7.5</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Comprobantes de cobros acreditados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7.6</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Extracto y movimientos bancarios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 EMPLEADO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8.1</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Postulación y documentación respaldatoria</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 GESTIÓN DE RRHH</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8.2</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Designación y alta de legajo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 GESTIÓN DE RRHH</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8.3</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Datos personales / bancarios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 GESTIÓN DE RRHH</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8.4</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Registro de asistencias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 GESTIÓN DE RRHH</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8.5</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Notificaciones sobre licencias y certificados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 GESTIÓN DE RRHH</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8.6</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Resolución sobre licencias y certificados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 GESTIÓN DE RRHH</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8.7</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Recibo de sueldo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 GESTIÓN DE RRHH</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8.8</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Consulta sobre haberes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 GESTIÓN DE RRHH</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8.9</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Informe de haberes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 GESTIÓN DE RRHH</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8.10</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Notificación de renuncia</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 GESTIÓN DE RRHH</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8.11</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Certificado de trabajo y liquidación final</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 GESTIÓN DE RRHH</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 ORG. DE RECAUDACIÓN PROVINCIAL</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9.1</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Solicitud de inscripción en Ingresos Brutos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9.2</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Constancia de inscripción en Ingresos Brutos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9.3</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Declaraciones juradas de Ingresos Brutos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9.4</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Acuse de presentación</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9.5</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Pago de impuestos provinciales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9.6</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Requerimientos e intimaciones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9.7</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Respuesta a requerimientos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 GOBIERNOS MUNICIPALES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10.1</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Solicitud de habilitación de depósito</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GESTIÓN DE COMPRAS E INFRAESTRUCTURA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10.2</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Certificado de habilitación</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GESTIÓN DE COMPRAS E INFRAESTRUCTURA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10.3</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Liquidación de tasas municipales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10.4</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Pago de tasas municipales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 ADMINISTRACIÓN FINANCIERA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10.5</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Actas de inspección y requerimientos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GESTIÓN DE COMPRAS E INFRAESTRUCTURA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10.6</w:t>
            </w:r>
          </w:p>
        </w:tc>
        <w:tc>
          <w:tcPr>
            <w:tcW w:type="dxa" w:w="5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Respuesta a requerimientos</w:t>
            </w:r>
          </w:p>
        </w:tc>
        <w:tc>
          <w:tcPr>
            <w:tcW w:type="dxa" w:w="3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GESTIÓN DE COMPRAS E INFRAESTRUCTURA</w:t>
            </w:r>
          </w:p>
        </w:tc>
      </w:tr>
    </w:tbl>
    <w:p>
      <w:pPr>
        <w:spacing w:after="12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570"/>
        <w:gridCol w:w="800"/>
        <w:gridCol w:w="2400"/>
        <w:gridCol w:w="2800"/>
        <w:gridCol w:w="1000"/>
      </w:tblGrid>
      <w:tr>
        <w:trPr>
          <w:tblHeader/>
        </w:trPr>
        <w:tc>
          <w:tcPr>
            <w:tcW w:type="dxa" w:w="22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SUBSISTEMA</w:t>
            </w:r>
          </w:p>
        </w:tc>
        <w:tc>
          <w:tcPr>
            <w:tcW w:type="dxa" w:w="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REF DFD</w:t>
            </w:r>
          </w:p>
        </w:tc>
        <w:tc>
          <w:tcPr>
            <w:tcW w:type="dxa" w:w="457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DESCRIPCIÓN</w:t>
            </w:r>
          </w:p>
        </w:tc>
        <w:tc>
          <w:tcPr>
            <w:tcW w:type="dxa" w:w="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REF DC</w:t>
            </w:r>
          </w:p>
        </w:tc>
        <w:tc>
          <w:tcPr>
            <w:tcW w:type="dxa" w:w="24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TERMINAL</w:t>
            </w:r>
          </w:p>
        </w:tc>
        <w:tc>
          <w:tcPr>
            <w:tcW w:type="dxa" w:w="2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ALMACÉN</w:t>
            </w:r>
          </w:p>
        </w:tc>
        <w:tc>
          <w:tcPr>
            <w:tcW w:type="dxa" w:w="10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FUENTE</w:t>
            </w:r>
          </w:p>
        </w:tc>
      </w:tr>
      <w:tr>
        <w:trPr>
          <w:cantSplit/>
        </w:trPr>
        <w:tc>
          <w:tcPr>
            <w:tcW w:type="dxa" w:w="22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 Gestión operativa de depósitos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preparación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Identificación y autorización de transportista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Identificación de bultos recibidos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2.2</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del cliente por ingreso de mercadería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Copia conformada del remito de ingreso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Nota de diferencias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2.5</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Nota de espacio insuficiente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2.7</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Autorización de salida de transporte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2.7</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2.8</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preparación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2.8</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2.9</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Remito de entrega de mercaderías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2.9</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2.10</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 entrega conformado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2.10</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Denuncia de siniestro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5. ASEGURADORA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Resolución de siniestro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5. ASEGURADORA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Movimientos de mercadería (ingresos, egresos, traslados, bajas, diferencias y excedentes)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Estado de órdenes de preparación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AL.2 Órdenes de preparación</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Órdenes de traslado y faltantes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AL.4 Órdenes de traslado interno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Condiciones contratadas del cliente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AL.1 Clientes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Depósitos y posiciones habilitadas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AL.5 Depósitos y posiciones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Políticas y reglas operativas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AL.9 Políticas, reglas, planes y presupuesto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A.7</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Mercadería disponible, SKU y ocupación de posiciones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A.8</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Órdenes de preparación y transportista autorizado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AL.2 Órdenes de preparación</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A.9</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Órdenes de traslado a ejecutar</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AL.4 Órdenes de traslado interno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tcW w:type="dxa" w:w="22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B. Gestión comercial</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Solicitud de cotización de servicios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Propuesta comercial y condiciones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1.2</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Contrato suscripto y declaración de licitud</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Declaración de tipos de producto / SKU</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Nomenclador y SKU asignados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1.5</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1.7</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Notificación de espacio insuficiente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1.7</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1.8</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Notificación de diferencias de recepción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1.8</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1.9</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Notificación de bajas por rotura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1.9</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1.10</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Notificación de faltante para traslado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1.10</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Consulta de stock y estado de órdenes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Informe de stock y estado de órdenes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1.12</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Reclamo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Resolución de reclamo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B.1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Clientes y condiciones contratadas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AL.1 Clientes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B.2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Alta de SKU</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B.3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Estado de órdenes de preparación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AL.2 Órdenes de preparación</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B.4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Mercadería del cliente, diferencias, bajas y excedentes a notificar</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B.5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Faltantes para traslado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AL.4 Órdenes de traslado interno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B.6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Políticas comerciales y tarifarias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AL.9 Políticas, reglas, planes y presupuesto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tcW w:type="dxa" w:w="22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C. Administración financiera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Factura mensual de servicios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1.15</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Pago del cliente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1.16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Estados contables y resultados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3.5</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3. ACCIONISTAS / DIRECTORIO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Pago a proveedor</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4. PROVEEDOR</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4.8</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Comprobante de pago de alquileres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4.8</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4. PROVEEDOR</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Liquidación de siniestro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5.5</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5. ASEGURADORA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Factura de servicio de seguro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5. ASEGURADORA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5.7</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Pago prima de seguro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5.7</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5. ASEGURADORA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Solicitud de autorización de comprobante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6. ARCA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CAE con fecha de vencimiento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6.2</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6. ARCA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Constancia de impuestos dados de alta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6. ARCA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Declaraciones juradas impositivas y de seguridad social</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6. ARCA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Acuse de presentación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6.5</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6. ARCA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Pago de impuestos y aportes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6. ARCA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6.7</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Requerimientos, intimaciones y órdenes de fiscalización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6.7</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6. ARCA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6.8</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Respuesta a requerimientos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6.8</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6. ARCA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Depósito de cobranzas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7. ENTIDAD FINANCIERA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Comprobantes de pago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7.2</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7. ENTIDAD FINANCIERA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Pago de haberes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7. ENTIDAD FINANCIERA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Solicitud de débito directo al cliente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7. ENTIDAD FINANCIERA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Comprobantes de cobros acreditados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7.5</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7. ENTIDAD FINANCIERA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Extracto y movimientos bancarios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7.6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7. ENTIDAD FINANCIERA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Solicitud de inscripción en Ingresos Brutos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9. ORG. DE RECAUDACIÓN PROVINCIAL</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Constancia de inscripción en Ingresos Brutos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9.2</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9. ORG. DE RECAUDACIÓN PROVINCIAL</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Declaraciones juradas de Ingresos Brutos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9. ORG. DE RECAUDACIÓN PROVINCIAL</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Acuse de presentación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9. ORG. DE RECAUDACIÓN PROVINCIAL</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Pago de impuestos provinciales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9.5</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9. ORG. DE RECAUDACIÓN PROVINCIAL</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Requerimientos e intimaciones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9. ORG. DE RECAUDACIÓN PROVINCIAL</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9.7</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Respuesta a requerimientos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9.7</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9. ORG. DE RECAUDACIÓN PROVINCIAL</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Liquidación de tasas municipales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10. GOBIERNOS MUNICIPALES</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Pago de tasas municipales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10. GOBIERNOS MUNICIPALES</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C.1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Precios contratados por cliente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AL.1 Clientes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C.2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Movimientos de mercadería facturables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C.3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Compras y contrataciones a pagar</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AL.6 Proveedores y contrataciones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C.4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Liquidaciones de haberes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AL.7 Empleados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C.5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Registros contables y financieros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AL.8 Registros contables y financieros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C.6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Presupuesto y políticas financieras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AL.9 Políticas, reglas, planes y presupuesto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tcW w:type="dxa" w:w="22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 Gestión de RRHH</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Postulación y documentación respaldatoria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8. EMPLEADO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Designación y alta de legajo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8.2</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8. EMPLEADO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Datos personales / bancarios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8. EMPLEADO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Registro de asistencias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8. EMPLEADO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Notificaciones sobre licencias y certificados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8.5</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8. EMPLEADO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Resolución sobre licencias y certificados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8. EMPLEADO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8.7</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Recibo de sueldo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8.7</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8. EMPLEADO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8.8</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Consulta sobre haberes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8.8</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8. EMPLEADO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8.9</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Informe de haberes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8.9</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8. EMPLEADO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8.10</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Notificación de renuncia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8.10</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8. EMPLEADO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8.11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Certificado de trabajo y liquidación final</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8.11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8. EMPLEADO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Empleados y liquidaciones de haberes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AL.7 Empleados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Políticas de personal</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AL.9 Políticas, reglas, planes y presupuesto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tcW w:type="dxa" w:w="22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E. Gestión de compras e infraestructura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Solicitud de cotización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4. PROVEEDOR</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Cotización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4.2</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4. PROVEEDOR</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Orden de compra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4. PROVEEDOR</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del proveedor</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4. PROVEEDOR</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Factura del proveedor</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4.5</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4. PROVEEDOR</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4.7</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Factura de alquiler</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4.7</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4. PROVEEDOR</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Declaración de bienes asegurados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5. ASEGURADORA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Póliza y condiciones de cobertura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5.2</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5. ASEGURADORA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Solicitud de habilitación de depósito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10. GOBIERNOS MUNICIPALES</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Certificado de habilitación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10.2</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10. GOBIERNOS MUNICIPALES</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Actas de inspección y requerimientos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10.5</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10. GOBIERNOS MUNICIPALES</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Respuesta a requerimientos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10.6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10. GOBIERNOS MUNICIPALES</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E.1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Depósitos y posiciones habilitadas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AL.5 Depósitos y posiciones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E.2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Proveedores y contrataciones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AL.6 Proveedores y contrataciones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E.3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Plan de inversiones y presupuesto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AL.9 Políticas, reglas, planes y presupuesto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tcW w:type="dxa" w:w="22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F. Planificación, políticas y control de gestión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Lineamientos estratégicos y políticas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3. ACCIONISTAS / DIRECTORIO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Plan de expansión e inversiones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3.2</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3. ACCIONISTAS / DIRECTORIO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Presupuesto aprobado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3. ACCIONISTAS / DIRECTORIO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Reportes de gestión, métricas e indicadores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3.4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3. ACCIONISTAS / DIRECTORIO</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F.1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Políticas, reglas, planes y presupuesto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AL.9 Políticas, reglas, planes y presupuesto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F.2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Mercadería y actividad operativa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F.3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Registros contables y financieros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AL.8 Registros contables y financieros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bl>
    <w:p>
      <w:pPr>
        <w:spacing w:after="120"/>
      </w:pPr>
    </w:p>
    <w:p>
      <w:pPr>
        <w:pStyle w:val="Heading2"/>
        <w:keepNext/>
        <w:spacing w:after="140" w:before="300"/>
      </w:pPr>
      <w:r>
        <w:rPr>
          <w:rFonts w:ascii="Aptos Display" w:cs="Aptos Display" w:eastAsia="Aptos Display" w:hAnsi="Aptos Display"/>
          <w:b/>
          <w:bCs/>
          <w:i w:val="false"/>
          <w:iCs w:val="false"/>
          <w:color w:val="0F4761"/>
          <w:sz w:val="30"/>
          <w:szCs w:val="30"/>
        </w:rPr>
        <w:t xml:space="preserve">3. Almacenes del DFD 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7970"/>
        <w:gridCol w:w="1800"/>
        <w:gridCol w:w="1800"/>
      </w:tblGrid>
      <w:tr>
        <w:trPr>
          <w:tblHeader/>
        </w:trPr>
        <w:tc>
          <w:tcPr>
            <w:tcW w:type="dxa" w:w="30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ALMACÉN</w:t>
            </w:r>
          </w:p>
        </w:tc>
        <w:tc>
          <w:tcPr>
            <w:tcW w:type="dxa" w:w="797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QUÉ GUARDA</w:t>
            </w:r>
          </w:p>
        </w:tc>
        <w:tc>
          <w:tcPr>
            <w:tcW w:type="dxa" w:w="1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LO ESCRIBE</w:t>
            </w:r>
          </w:p>
        </w:tc>
        <w:tc>
          <w:tcPr>
            <w:tcW w:type="dxa" w:w="1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LO LEEN</w:t>
            </w:r>
          </w:p>
        </w:tc>
      </w:tr>
      <w:tr>
        <w:trPr>
          <w:cantSplit/>
        </w:trPr>
        <w:tc>
          <w:tcPr>
            <w:tcW w:type="dxa" w:w="3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bCs/>
                <w:i w:val="false"/>
                <w:iCs w:val="false"/>
                <w:sz w:val="17"/>
                <w:szCs w:val="17"/>
              </w:rPr>
              <w:t xml:space="preserve">AL.1 Clientes</w:t>
            </w:r>
          </w:p>
        </w:tc>
        <w:tc>
          <w:tcPr>
            <w:tcW w:type="dxa" w:w="79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Datos del cliente, condiciones contratadas, tarifas (m³, In, Out, Fulfillment), espacio contratado, modalidad y stock mínimo</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B</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 C</w:t>
            </w:r>
          </w:p>
        </w:tc>
      </w:tr>
      <w:tr>
        <w:trPr>
          <w:cantSplit/>
        </w:trPr>
        <w:tc>
          <w:tcPr>
            <w:tcW w:type="dxa" w:w="3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bCs/>
                <w:i w:val="false"/>
                <w:iCs w:val="false"/>
                <w:sz w:val="17"/>
                <w:szCs w:val="17"/>
              </w:rPr>
              <w:t xml:space="preserve">AL.2 Órdenes de preparación</w:t>
            </w:r>
          </w:p>
        </w:tc>
        <w:tc>
          <w:tcPr>
            <w:tcW w:type="dxa" w:w="79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La orden del cliente, su transportista autorizado y su estado (pendiente, en preparación, preparada, despachada)</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B</w:t>
            </w:r>
          </w:p>
        </w:tc>
      </w:tr>
      <w:tr>
        <w:trPr>
          <w:cantSplit/>
        </w:trPr>
        <w:tc>
          <w:tcPr>
            <w:tcW w:type="dxa" w:w="3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bCs/>
                <w:i w:val="false"/>
                <w:iCs w:val="false"/>
                <w:sz w:val="17"/>
                <w:szCs w:val="17"/>
              </w:rPr>
              <w:t xml:space="preserve">AL.3 Mercadería</w:t>
            </w:r>
          </w:p>
        </w:tc>
        <w:tc>
          <w:tcPr>
            <w:tcW w:type="dxa" w:w="79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SKU, cliente dueño, depósito, posición, palé, cantidad, estado y sus movimientos (ingresos, egresos, traslados, bajas, diferencias y excedentes de espacio)</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B (alta de SKU) y A (movimientos)</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 B, C, F</w:t>
            </w:r>
          </w:p>
        </w:tc>
      </w:tr>
      <w:tr>
        <w:trPr>
          <w:cantSplit/>
        </w:trPr>
        <w:tc>
          <w:tcPr>
            <w:tcW w:type="dxa" w:w="3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bCs/>
                <w:i w:val="false"/>
                <w:iCs w:val="false"/>
                <w:sz w:val="17"/>
                <w:szCs w:val="17"/>
              </w:rPr>
              <w:t xml:space="preserve">AL.4 Órdenes de traslado interno</w:t>
            </w:r>
          </w:p>
        </w:tc>
        <w:tc>
          <w:tcPr>
            <w:tcW w:type="dxa" w:w="79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Qué mercadería se traslada, desde qué depósito y hacia cuál, su estado, y los faltantes cuando no hay stock en ningún depósito</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 B</w:t>
            </w:r>
          </w:p>
        </w:tc>
      </w:tr>
      <w:tr>
        <w:trPr>
          <w:cantSplit/>
        </w:trPr>
        <w:tc>
          <w:tcPr>
            <w:tcW w:type="dxa" w:w="3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bCs/>
                <w:i w:val="false"/>
                <w:iCs w:val="false"/>
                <w:sz w:val="17"/>
                <w:szCs w:val="17"/>
              </w:rPr>
              <w:t xml:space="preserve">AL.5 Depósitos y posiciones</w:t>
            </w:r>
          </w:p>
        </w:tc>
        <w:tc>
          <w:tcPr>
            <w:tcW w:type="dxa" w:w="79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Depósitos habilitados, capacidad y posiciones X-Y-Z</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E</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w:t>
            </w:r>
          </w:p>
        </w:tc>
      </w:tr>
      <w:tr>
        <w:trPr>
          <w:cantSplit/>
        </w:trPr>
        <w:tc>
          <w:tcPr>
            <w:tcW w:type="dxa" w:w="3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bCs/>
                <w:i w:val="false"/>
                <w:iCs w:val="false"/>
                <w:sz w:val="17"/>
                <w:szCs w:val="17"/>
              </w:rPr>
              <w:t xml:space="preserve">AL.6 Proveedores y contrataciones</w:t>
            </w:r>
          </w:p>
        </w:tc>
        <w:tc>
          <w:tcPr>
            <w:tcW w:type="dxa" w:w="79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Proveedores, órdenes de compra, contratos de alquiler y facturas a pagar</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E</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C</w:t>
            </w:r>
          </w:p>
        </w:tc>
      </w:tr>
      <w:tr>
        <w:trPr>
          <w:cantSplit/>
        </w:trPr>
        <w:tc>
          <w:tcPr>
            <w:tcW w:type="dxa" w:w="3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bCs/>
                <w:i w:val="false"/>
                <w:iCs w:val="false"/>
                <w:sz w:val="17"/>
                <w:szCs w:val="17"/>
              </w:rPr>
              <w:t xml:space="preserve">AL.7 Empleados</w:t>
            </w:r>
          </w:p>
        </w:tc>
        <w:tc>
          <w:tcPr>
            <w:tcW w:type="dxa" w:w="79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Legajos, asistencias, novedades laborales y liquidaciones de haberes</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C, F</w:t>
            </w:r>
          </w:p>
        </w:tc>
      </w:tr>
      <w:tr>
        <w:trPr>
          <w:cantSplit/>
        </w:trPr>
        <w:tc>
          <w:tcPr>
            <w:tcW w:type="dxa" w:w="3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bCs/>
                <w:i w:val="false"/>
                <w:iCs w:val="false"/>
                <w:sz w:val="17"/>
                <w:szCs w:val="17"/>
              </w:rPr>
              <w:t xml:space="preserve">AL.8 Registros contables y financieros</w:t>
            </w:r>
          </w:p>
        </w:tc>
        <w:tc>
          <w:tcPr>
            <w:tcW w:type="dxa" w:w="79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Facturación, cobranzas, pagos, movimientos bancarios y registros contables</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C</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F</w:t>
            </w:r>
          </w:p>
        </w:tc>
      </w:tr>
      <w:tr>
        <w:trPr>
          <w:cantSplit/>
        </w:trPr>
        <w:tc>
          <w:tcPr>
            <w:tcW w:type="dxa" w:w="3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bCs/>
                <w:i w:val="false"/>
                <w:iCs w:val="false"/>
                <w:sz w:val="17"/>
                <w:szCs w:val="17"/>
              </w:rPr>
              <w:t xml:space="preserve">AL.9 Políticas, reglas, planes y presupuesto</w:t>
            </w:r>
          </w:p>
        </w:tc>
        <w:tc>
          <w:tcPr>
            <w:tcW w:type="dxa" w:w="79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Reglas de negocio, políticas, presupuesto y planes de expansión</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F</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 B, C, D, E</w:t>
            </w:r>
          </w:p>
        </w:tc>
      </w:tr>
    </w:tbl>
    <w:p>
      <w:pPr>
        <w:spacing w:after="120"/>
      </w:pPr>
    </w:p>
    <w:p>
      <w:r>
        <w:br w:type="page"/>
      </w:r>
    </w:p>
    <w:p>
      <w:pPr>
        <w:spacing w:after="120" w:before="120"/>
        <w:jc w:val="both"/>
      </w:pPr>
      <w:r>
        <w:rPr>
          <w:rFonts w:ascii="Times New Roman" w:cs="Times New Roman" w:eastAsia="Times New Roman" w:hAnsi="Times New Roman"/>
          <w:b w:val="false"/>
          <w:bCs w:val="false"/>
          <w:i w:val="false"/>
          <w:iCs w:val="false"/>
          <w:sz w:val="24"/>
          <w:szCs w:val="24"/>
        </w:rPr>
        <w:t xml:space="preserve">2.Identificar en el DFD 1 del punto anterior el subsistema que se ha encomendado desarrollar en esta primera etapa y realizar su apertura en un DFD2 que exhiba los procesos que gestionará y los almacenes internos. Recordar mantener los flujos de E/S del nivel anterior y, por ende, los terminales y almacenes (esto cada vez que desagregamos en un DFD de un nuevo nivel).</w:t>
      </w:r>
    </w:p>
    <w:p>
      <w:pPr>
        <w:pStyle w:val="Heading2"/>
        <w:keepNext/>
        <w:spacing w:after="140" w:before="300"/>
      </w:pPr>
      <w:r>
        <w:rPr>
          <w:rFonts w:ascii="Aptos Display" w:cs="Aptos Display" w:eastAsia="Aptos Display" w:hAnsi="Aptos Display"/>
          <w:b/>
          <w:bCs/>
          <w:i w:val="false"/>
          <w:iCs w:val="false"/>
          <w:color w:val="0F4761"/>
          <w:sz w:val="30"/>
          <w:szCs w:val="30"/>
        </w:rPr>
        <w:t xml:space="preserve">Procesos del DFD 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0570"/>
      </w:tblGrid>
      <w:tr>
        <w:trPr>
          <w:tblHeader/>
        </w:trPr>
        <w:tc>
          <w:tcPr>
            <w:tcW w:type="dxa" w:w="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Ref</w:t>
            </w:r>
          </w:p>
        </w:tc>
        <w:tc>
          <w:tcPr>
            <w:tcW w:type="dxa" w:w="32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Proceso</w:t>
            </w:r>
          </w:p>
        </w:tc>
        <w:tc>
          <w:tcPr>
            <w:tcW w:type="dxa" w:w="1057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Qué gestiona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P1</w:t>
            </w:r>
          </w:p>
        </w:tc>
        <w:tc>
          <w:tcPr>
            <w:tcW w:type="dxa" w:w="3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Operación del depósito</w:t>
            </w:r>
          </w:p>
        </w:tc>
        <w:tc>
          <w:tcPr>
            <w:tcW w:type="dxa" w:w="10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both"/>
            </w:pPr>
            <w:r>
              <w:rPr>
                <w:rFonts w:ascii="Arial" w:cs="Arial" w:eastAsia="Arial" w:hAnsi="Arial"/>
                <w:b w:val="false"/>
                <w:bCs w:val="false"/>
                <w:i w:val="false"/>
                <w:iCs w:val="false"/>
                <w:sz w:val="17"/>
                <w:szCs w:val="17"/>
              </w:rPr>
              <w:t xml:space="preserve">Gestiona la operatoria dentro de cada depósito: recepción e ingreso de mercadería, guarda en posiciones y control del stock, procesamiento de órdenes de preparación (selección y preparación a palé cerrado o fulfillment), despacho, bajas por rotura con denuncia del siniestro y ejecución física de los traslados. Es el único proceso que da de alta y de baja stock. Se desagrega en el DFD 3.</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P2</w:t>
            </w:r>
          </w:p>
        </w:tc>
        <w:tc>
          <w:tcPr>
            <w:tcW w:type="dxa" w:w="3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Coordinación de traslados entre depósitos</w:t>
            </w:r>
          </w:p>
        </w:tc>
        <w:tc>
          <w:tcPr>
            <w:tcW w:type="dxa" w:w="10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both"/>
            </w:pPr>
            <w:r>
              <w:rPr>
                <w:rFonts w:ascii="Arial" w:cs="Arial" w:eastAsia="Arial" w:hAnsi="Arial"/>
                <w:b w:val="false"/>
                <w:bCs w:val="false"/>
                <w:i w:val="false"/>
                <w:iCs w:val="false"/>
                <w:sz w:val="17"/>
                <w:szCs w:val="17"/>
              </w:rPr>
              <w:t xml:space="preserve">A partir de la alerta de stock mínimo contratado, consolida el stock de los cuatro depósitos, elige el depósito de origen y emite la orden de traslado. Si no hay stock en ningún depósito, registra la orden de traslado con estado sin stock para que Atención al cliente (B. Gestión Comercial) lo notifique al cliente.</w:t>
            </w:r>
          </w:p>
        </w:tc>
      </w:tr>
    </w:tbl>
    <w:p>
      <w:pPr>
        <w:spacing w:after="120"/>
      </w:pPr>
    </w:p>
    <w:p>
      <w:pPr>
        <w:pStyle w:val="Heading2"/>
        <w:keepNext/>
        <w:spacing w:after="140" w:before="300"/>
      </w:pPr>
      <w:r>
        <w:rPr>
          <w:rFonts w:ascii="Aptos Display" w:cs="Aptos Display" w:eastAsia="Aptos Display" w:hAnsi="Aptos Display"/>
          <w:b/>
          <w:bCs/>
          <w:i w:val="false"/>
          <w:iCs w:val="false"/>
          <w:color w:val="0F4761"/>
          <w:sz w:val="30"/>
          <w:szCs w:val="30"/>
        </w:rPr>
        <w:t xml:space="preserve">Almacenes internos del DFD 2</w:t>
      </w:r>
    </w:p>
    <w:p>
      <w:pPr>
        <w:spacing w:after="120" w:before="60"/>
      </w:pPr>
      <w:r>
        <w:rPr>
          <w:rFonts w:ascii="Arial" w:cs="Arial" w:eastAsia="Arial" w:hAnsi="Arial"/>
          <w:b w:val="false"/>
          <w:bCs w:val="false"/>
          <w:i w:val="false"/>
          <w:iCs w:val="false"/>
          <w:sz w:val="22"/>
          <w:szCs w:val="22"/>
        </w:rPr>
        <w:t xml:space="preserve">No se incorporan almacenes internos: todos los que usa el subsistema son compartidos con otros subsistemas y vienen del DFD 1 (AL.1, AL.2, AL.3, AL.4, AL.5 y AL.9).</w:t>
      </w:r>
    </w:p>
    <w:p>
      <w:pPr>
        <w:pStyle w:val="Heading2"/>
        <w:keepNext/>
        <w:spacing w:after="140" w:before="300"/>
      </w:pPr>
      <w:r>
        <w:rPr>
          <w:rFonts w:ascii="Aptos Display" w:cs="Aptos Display" w:eastAsia="Aptos Display" w:hAnsi="Aptos Display"/>
          <w:b/>
          <w:bCs/>
          <w:i w:val="false"/>
          <w:iCs w:val="false"/>
          <w:color w:val="0F4761"/>
          <w:sz w:val="30"/>
          <w:szCs w:val="30"/>
        </w:rPr>
        <w:t xml:space="preserve">Flujos de datos por terminal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6200"/>
        <w:gridCol w:w="4570"/>
      </w:tblGrid>
      <w:tr>
        <w:trPr>
          <w:tblHeader/>
        </w:trPr>
        <w:tc>
          <w:tcPr>
            <w:tcW w:type="dxa" w:w="30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TERMINAL</w:t>
            </w:r>
          </w:p>
        </w:tc>
        <w:tc>
          <w:tcPr>
            <w:tcW w:type="dxa" w:w="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REF</w:t>
            </w:r>
          </w:p>
        </w:tc>
        <w:tc>
          <w:tcPr>
            <w:tcW w:type="dxa" w:w="62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FLUJOS</w:t>
            </w:r>
          </w:p>
        </w:tc>
        <w:tc>
          <w:tcPr>
            <w:tcW w:type="dxa" w:w="457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PROCESO QUE LO GESTIONA</w:t>
            </w:r>
          </w:p>
        </w:tc>
      </w:tr>
      <w:tr>
        <w:trPr>
          <w:cantSplit/>
        </w:trPr>
        <w:tc>
          <w:tcPr>
            <w:tcW w:type="dxa" w:w="3000"/>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 CLIENTE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1.6</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preparación</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P.1 Operación del depósito</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 TRANSPORTISTA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Identificación y autorización de transportista</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P.1 Operación del depósito</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2.2</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Identificación de bultos recibidos</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P.1 Operación del depósito</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2.3</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del cliente por ingreso de mercadería</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P.1 Operación del depósito</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2.4</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Copia conformada del remito de ingreso</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P.1 Operación del depósito</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2.5</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Nota de diferencias</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P.1 Operación del depósito</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2.6</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Nota de espacio insuficiente</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P.1 Operación del depósito</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2.7</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Autorización de salida de transporte</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P.1 Operación del depósito</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2.8</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preparación</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P.1 Operación del depósito</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2.9</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Remito de entrega de mercaderías</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P.1 Operación del depósito</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2.10</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 entrega conformado</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P.1 Operación del depósito</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 ASEGURADORA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5.3</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Denuncia de siniestro</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P.1 Operación del depósito</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5.4</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Resolución de siniestro</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P.1 Operación del depósito</w:t>
            </w:r>
          </w:p>
        </w:tc>
      </w:tr>
    </w:tbl>
    <w:p>
      <w:pPr>
        <w:spacing w:after="120"/>
      </w:pPr>
    </w:p>
    <w:p>
      <w:pPr>
        <w:pStyle w:val="Heading2"/>
        <w:keepNext/>
        <w:spacing w:after="140" w:before="300"/>
      </w:pPr>
      <w:r>
        <w:rPr>
          <w:rFonts w:ascii="Aptos Display" w:cs="Aptos Display" w:eastAsia="Aptos Display" w:hAnsi="Aptos Display"/>
          <w:b/>
          <w:bCs/>
          <w:i w:val="false"/>
          <w:iCs w:val="false"/>
          <w:color w:val="0F4761"/>
          <w:sz w:val="30"/>
          <w:szCs w:val="30"/>
        </w:rPr>
        <w:t xml:space="preserve">Flujos por proceso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570"/>
        <w:gridCol w:w="800"/>
        <w:gridCol w:w="2400"/>
        <w:gridCol w:w="2800"/>
        <w:gridCol w:w="1000"/>
      </w:tblGrid>
      <w:tr>
        <w:trPr>
          <w:tblHeader/>
        </w:trPr>
        <w:tc>
          <w:tcPr>
            <w:tcW w:type="dxa" w:w="22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PROCESO</w:t>
            </w:r>
          </w:p>
        </w:tc>
        <w:tc>
          <w:tcPr>
            <w:tcW w:type="dxa" w:w="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REF DFD</w:t>
            </w:r>
          </w:p>
        </w:tc>
        <w:tc>
          <w:tcPr>
            <w:tcW w:type="dxa" w:w="457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DESCRIPCIÓN</w:t>
            </w:r>
          </w:p>
        </w:tc>
        <w:tc>
          <w:tcPr>
            <w:tcW w:type="dxa" w:w="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REF DC</w:t>
            </w:r>
          </w:p>
        </w:tc>
        <w:tc>
          <w:tcPr>
            <w:tcW w:type="dxa" w:w="24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TERMINAL</w:t>
            </w:r>
          </w:p>
        </w:tc>
        <w:tc>
          <w:tcPr>
            <w:tcW w:type="dxa" w:w="2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ALMACÉN</w:t>
            </w:r>
          </w:p>
        </w:tc>
        <w:tc>
          <w:tcPr>
            <w:tcW w:type="dxa" w:w="10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FUENTE</w:t>
            </w:r>
          </w:p>
        </w:tc>
      </w:tr>
      <w:tr>
        <w:trPr>
          <w:cantSplit/>
        </w:trPr>
        <w:tc>
          <w:tcPr>
            <w:tcW w:type="dxa" w:w="22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P1 Operación del depósito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preparación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Identificación y autorización de transportista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Identificación de bultos recibidos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2.2</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del cliente por ingreso de mercadería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Copia conformada del remito de ingreso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Nota de diferencias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2.5</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Nota de espacio insuficiente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2.7</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Autorización de salida de transporte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2.7</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2.8</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preparación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2.8</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2.9</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Remito de entrega de mercaderías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2.9</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2.10</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 entrega conformado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2.10</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Denuncia de siniestro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5. ASEGURADORA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Resolución de siniestro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5. ASEGURADORA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Movimientos de mercadería (ingresos, egresos, traslados, bajas, diferencias y excedentes)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Estado de órdenes de preparación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AL.2 Órdenes de preparación</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Condiciones contratadas del cliente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AL.1 Clientes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Depósitos y posiciones habilitadas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AL.5 Depósitos y posiciones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Políticas y reglas operativas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AL.9 Políticas, reglas, planes y presupuesto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A.7</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Mercadería disponible, SKU y ocupación de posiciones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A.8</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Órdenes de preparación y transportista autorizado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AL.2 Órdenes de preparación</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A.9</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Órdenes de traslado a ejecutar</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AL.4 Órdenes de traslado interno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P1.1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Traslado ejecutado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AL.4 Órdenes de traslado interno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DFD2</w:t>
            </w:r>
          </w:p>
        </w:tc>
      </w:tr>
      <w:tr>
        <w:trPr>
          <w:cantSplit/>
        </w:trPr>
        <w:tc>
          <w:tcPr>
            <w:tcW w:type="dxa" w:w="22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P2 Coordinación de traslados entre depósitos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Órdenes de traslado y faltantes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AL.4 Órdenes de traslado interno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P2.1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Stock mínimo contratado por cliente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AL.1 Clientes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DFD2</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P2.2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Depósitos habilitados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AL.5 Depósitos y posiciones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DFD2</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P2.3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Políticas de reposición y traslado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AL.9 Políticas, reglas, planes y presupuesto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DFD2</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P2.4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Stock consolidado por depósito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DFD2</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P2.5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Estado de traslados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AL.4 Órdenes de traslado interno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DFD2</w:t>
            </w:r>
          </w:p>
        </w:tc>
      </w:tr>
    </w:tbl>
    <w:p>
      <w:pPr>
        <w:spacing w:after="120"/>
      </w:pPr>
    </w:p>
    <w:p>
      <w:r>
        <w:br w:type="page"/>
      </w:r>
    </w:p>
    <w:p>
      <w:pPr>
        <w:spacing w:after="120" w:before="120"/>
        <w:jc w:val="both"/>
      </w:pPr>
      <w:r>
        <w:rPr>
          <w:rFonts w:ascii="Times New Roman" w:cs="Times New Roman" w:eastAsia="Times New Roman" w:hAnsi="Times New Roman"/>
          <w:b w:val="false"/>
          <w:bCs w:val="false"/>
          <w:i w:val="false"/>
          <w:iCs w:val="false"/>
          <w:sz w:val="24"/>
          <w:szCs w:val="24"/>
        </w:rPr>
        <w:t xml:space="preserve">3.Seleccionar del DFD2 el proceso que contemple la gestión propiamente dicha del depósito desagregándolo en un DFD3, el que deberá exhibir todos los subprocesos que pueden ejecutarse en esa unidad estructural o dependencia. Este DFD nos describirá, con el nivel de abstracción correspondiente, qué actividades pueden desarrollarse en el depósito con el soporte o apoyatura del sistema que vamos a construir. Es el momento de describir todo lo que se podrá hacer, no cómo se lo va a hacer.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0970"/>
      </w:tblGrid>
      <w:tr>
        <w:trPr>
          <w:tblHeader/>
        </w:trPr>
        <w:tc>
          <w:tcPr>
            <w:tcW w:type="dxa" w:w="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REF</w:t>
            </w:r>
          </w:p>
        </w:tc>
        <w:tc>
          <w:tcPr>
            <w:tcW w:type="dxa" w:w="2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SUBPROCESO</w:t>
            </w:r>
          </w:p>
        </w:tc>
        <w:tc>
          <w:tcPr>
            <w:tcW w:type="dxa" w:w="1097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ALCANCE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bCs/>
                <w:i w:val="false"/>
                <w:iCs w:val="false"/>
                <w:sz w:val="17"/>
                <w:szCs w:val="17"/>
              </w:rPr>
              <w:t xml:space="preserve">SP.1</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bCs/>
                <w:i w:val="false"/>
                <w:iCs w:val="false"/>
                <w:sz w:val="17"/>
                <w:szCs w:val="17"/>
              </w:rPr>
              <w:t xml:space="preserve">Proceso de descarga</w:t>
            </w:r>
          </w:p>
        </w:tc>
        <w:tc>
          <w:tcPr>
            <w:tcW w:type="dxa" w:w="109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both"/>
            </w:pPr>
            <w:r>
              <w:rPr>
                <w:rFonts w:ascii="Arial" w:cs="Arial" w:eastAsia="Arial" w:hAnsi="Arial"/>
                <w:b w:val="false"/>
                <w:bCs w:val="false"/>
                <w:i w:val="false"/>
                <w:iCs w:val="false"/>
                <w:sz w:val="17"/>
                <w:szCs w:val="17"/>
              </w:rPr>
              <w:t xml:space="preserve">Recibe al transportista en el área de Descarga, sin aviso previo del cliente. Registra el remito del cliente con su SKU, realiza el recuento e identificación de bultos sin abrir el packaging y contrasta contra el remito. Si hay discrepancia, emite la nota de diferencias y recepciona el remito en forma condicionada. Verifica el espacio disponible contra lo contratado y, si no alcanza, emite la nota de espacio insuficiente y registra el adicional a cobrar. Consolida en palé la carga suelta y lo identifica. Emite la orden de recepción con las coordenadas de destino, recibe la mercadería por traslados entre depósitos y entrega al transportista la copia conformada.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bCs/>
                <w:i w:val="false"/>
                <w:iCs w:val="false"/>
                <w:sz w:val="17"/>
                <w:szCs w:val="17"/>
              </w:rPr>
              <w:t xml:space="preserve">SP.2</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bCs/>
                <w:i w:val="false"/>
                <w:iCs w:val="false"/>
                <w:sz w:val="17"/>
                <w:szCs w:val="17"/>
              </w:rPr>
              <w:t xml:space="preserve">Proceso de almacenamiento</w:t>
            </w:r>
          </w:p>
        </w:tc>
        <w:tc>
          <w:tcPr>
            <w:tcW w:type="dxa" w:w="109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both"/>
            </w:pPr>
            <w:r>
              <w:rPr>
                <w:rFonts w:ascii="Arial" w:cs="Arial" w:eastAsia="Arial" w:hAnsi="Arial"/>
                <w:b w:val="false"/>
                <w:bCs w:val="false"/>
                <w:i w:val="false"/>
                <w:iCs w:val="false"/>
                <w:sz w:val="17"/>
                <w:szCs w:val="17"/>
              </w:rPr>
              <w:t xml:space="preserve">Toma la orden de recepción pendiente, recuenta lo consolidado, confirma e ingresa los productos al stock en su posición X-Y-Z. Mantiene la ocupación de posiciones y la relación producto - palé - posición. Es el único proceso que da de alta y de baja stock, ya que solo se considera stock lo que se encuentra en almacén. Ejecuta las órdenes de selección entregando la mercadería a Preparación y descontándola del stock. Registra las bajas por rotura o manipulación (con denuncia de siniestro). Controla el stock mínimo por contrato y emite la orden de traslado interno hacia otro depósito, o informa el faltante cuando no hay stock.</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bCs/>
                <w:i w:val="false"/>
                <w:iCs w:val="false"/>
                <w:sz w:val="17"/>
                <w:szCs w:val="17"/>
              </w:rPr>
              <w:t xml:space="preserve">SP.3</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bCs/>
                <w:i w:val="false"/>
                <w:iCs w:val="false"/>
                <w:sz w:val="17"/>
                <w:szCs w:val="17"/>
              </w:rPr>
              <w:t xml:space="preserve">Proceso de órdenes de preparación</w:t>
            </w:r>
          </w:p>
        </w:tc>
        <w:tc>
          <w:tcPr>
            <w:tcW w:type="dxa" w:w="109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both"/>
            </w:pPr>
            <w:r>
              <w:rPr>
                <w:rFonts w:ascii="Arial" w:cs="Arial" w:eastAsia="Arial" w:hAnsi="Arial"/>
                <w:b w:val="false"/>
                <w:bCs w:val="false"/>
                <w:i w:val="false"/>
                <w:iCs w:val="false"/>
                <w:sz w:val="17"/>
                <w:szCs w:val="17"/>
              </w:rPr>
              <w:t xml:space="preserve">Recibe las órdenes de preparación que envía el cliente a través del canal Web y valida que exista stock del tipo y la cantidad solicitados; las registra en estado Pendiente. Una o dos veces por día agrupa las órdenes pendientes y emite la orden de selección (picking), indicando tipo, cantidad y ubicación de estiba, y pasa las órdenes a En preparación. Según la modalidad contratada, realiza el fulfillment (picking por unidad, desconsolidación si corresponde, packing y etiquetado) o la revisión del palé cerrado, distribuyendo el trabajo entre 1 y 5 puestos según el volumen, y emite la orden de entrega, con lo que las órdenes pasan a Preparadas. Con la orden de entrega, identifica al transportista y verifica que sea el autorizado por el cliente en la orden de preparación, carga el camión con todas las órdenes que le correspondan, emite el remito de entrega, archiva la copia intervenida por el transportista y registra el cumplido. Las órdenes pasan a Despachadas.</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bCs/>
                <w:i w:val="false"/>
                <w:iCs w:val="false"/>
                <w:sz w:val="17"/>
                <w:szCs w:val="17"/>
              </w:rPr>
              <w:t xml:space="preserve">SP.4</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bCs/>
                <w:i w:val="false"/>
                <w:iCs w:val="false"/>
                <w:sz w:val="17"/>
                <w:szCs w:val="17"/>
              </w:rPr>
              <w:t xml:space="preserve">Proceso de despacho de mercadería entre depósitos.</w:t>
            </w:r>
          </w:p>
        </w:tc>
        <w:tc>
          <w:tcPr>
            <w:tcW w:type="dxa" w:w="109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both"/>
            </w:pPr>
            <w:r>
              <w:rPr>
                <w:rFonts w:ascii="Arial" w:cs="Arial" w:eastAsia="Arial" w:hAnsi="Arial"/>
                <w:b w:val="false"/>
                <w:bCs w:val="false"/>
                <w:i w:val="false"/>
                <w:iCs w:val="false"/>
                <w:sz w:val="17"/>
                <w:szCs w:val="17"/>
              </w:rPr>
              <w:t xml:space="preserve">Habilitado por la orden de traslado, identifica al transportista, carga la mercadería a trasladar y emite el remito de entrega.</w:t>
            </w:r>
          </w:p>
        </w:tc>
      </w:tr>
    </w:tbl>
    <w:p>
      <w:pPr>
        <w:spacing w:after="120"/>
      </w:pPr>
    </w:p>
    <w:p>
      <w:pPr>
        <w:pStyle w:val="Heading2"/>
        <w:keepNext/>
        <w:spacing w:after="140" w:before="300"/>
      </w:pPr>
      <w:r>
        <w:rPr>
          <w:rFonts w:ascii="Aptos Display" w:cs="Aptos Display" w:eastAsia="Aptos Display" w:hAnsi="Aptos Display"/>
          <w:b/>
          <w:bCs/>
          <w:i w:val="false"/>
          <w:iCs w:val="false"/>
          <w:color w:val="0F4761"/>
          <w:sz w:val="30"/>
          <w:szCs w:val="30"/>
        </w:rPr>
        <w:t xml:space="preserve">2. Almacenes internos del DFD 3</w:t>
      </w:r>
    </w:p>
    <w:p>
      <w:pPr>
        <w:spacing w:after="120" w:before="60"/>
      </w:pPr>
      <w:r>
        <w:rPr>
          <w:rFonts w:ascii="Arial" w:cs="Arial" w:eastAsia="Arial" w:hAnsi="Arial"/>
          <w:b w:val="false"/>
          <w:bCs w:val="false"/>
          <w:i w:val="false"/>
          <w:iCs w:val="false"/>
          <w:sz w:val="22"/>
          <w:szCs w:val="22"/>
        </w:rPr>
        <w:t xml:space="preserve">Se mantienen los almacenes del nivel anterior (AL.1, AL.2, AL.3, AL.4, AL.5 y AL.9). Se incorporan los siguientes, propios de este nivel: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500"/>
        <w:gridCol w:w="1500"/>
        <w:gridCol w:w="7870"/>
      </w:tblGrid>
      <w:tr>
        <w:trPr>
          <w:tblHeader/>
        </w:trPr>
        <w:tc>
          <w:tcPr>
            <w:tcW w:type="dxa" w:w="11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Almacén</w:t>
            </w:r>
          </w:p>
        </w:tc>
        <w:tc>
          <w:tcPr>
            <w:tcW w:type="dxa" w:w="26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Descripción</w:t>
            </w:r>
          </w:p>
        </w:tc>
        <w:tc>
          <w:tcPr>
            <w:tcW w:type="dxa" w:w="15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Escribe</w:t>
            </w:r>
          </w:p>
        </w:tc>
        <w:tc>
          <w:tcPr>
            <w:tcW w:type="dxa" w:w="15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Lee</w:t>
            </w:r>
          </w:p>
        </w:tc>
        <w:tc>
          <w:tcPr>
            <w:tcW w:type="dxa" w:w="787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Para qué</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bCs/>
                <w:i w:val="false"/>
                <w:iCs w:val="false"/>
                <w:sz w:val="17"/>
                <w:szCs w:val="17"/>
              </w:rPr>
              <w:t xml:space="preserve">AL.10</w:t>
            </w:r>
          </w:p>
        </w:tc>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Órdenes de recepción</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SP.1</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SP.2</w:t>
            </w:r>
          </w:p>
        </w:tc>
        <w:tc>
          <w:tcPr>
            <w:tcW w:type="dxa" w:w="78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Traslada la responsabilidad de Descarga a Almacén; queda pendiente hasta que Almacén confirma el ingreso al stock.</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bCs/>
                <w:i w:val="false"/>
                <w:iCs w:val="false"/>
                <w:sz w:val="17"/>
                <w:szCs w:val="17"/>
              </w:rPr>
              <w:t xml:space="preserve">AL.11</w:t>
            </w:r>
          </w:p>
        </w:tc>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Órdenes de selección</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SP.3 / SP.2</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SP.2 / SP.3</w:t>
            </w:r>
          </w:p>
        </w:tc>
        <w:tc>
          <w:tcPr>
            <w:tcW w:type="dxa" w:w="78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both"/>
            </w:pPr>
            <w:r>
              <w:rPr>
                <w:rFonts w:ascii="Arial" w:cs="Arial" w:eastAsia="Arial" w:hAnsi="Arial"/>
                <w:b w:val="false"/>
                <w:bCs w:val="false"/>
                <w:i w:val="false"/>
                <w:iCs w:val="false"/>
                <w:sz w:val="17"/>
                <w:szCs w:val="17"/>
              </w:rPr>
              <w:t xml:space="preserve">SP.3 indica qué mercadería bajar de los racks y desde qué ubicación; SP.2 registra el cumplido, que SP.3 toma para la preparación.</w:t>
            </w:r>
          </w:p>
        </w:tc>
      </w:tr>
    </w:tbl>
    <w:p>
      <w:pPr>
        <w:spacing w:after="120"/>
      </w:pPr>
    </w:p>
    <w:p>
      <w:pPr>
        <w:pStyle w:val="Heading2"/>
        <w:keepNext/>
        <w:spacing w:after="140" w:before="300"/>
      </w:pPr>
      <w:r>
        <w:rPr>
          <w:rFonts w:ascii="Aptos Display" w:cs="Aptos Display" w:eastAsia="Aptos Display" w:hAnsi="Aptos Display"/>
          <w:b/>
          <w:bCs/>
          <w:i w:val="false"/>
          <w:iCs w:val="false"/>
          <w:color w:val="0F4761"/>
          <w:sz w:val="30"/>
          <w:szCs w:val="30"/>
        </w:rPr>
        <w:t xml:space="preserve">3. Flujos de datos por terminal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6200"/>
        <w:gridCol w:w="4570"/>
      </w:tblGrid>
      <w:tr>
        <w:trPr>
          <w:tblHeader/>
        </w:trPr>
        <w:tc>
          <w:tcPr>
            <w:tcW w:type="dxa" w:w="30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TERMINAL</w:t>
            </w:r>
          </w:p>
        </w:tc>
        <w:tc>
          <w:tcPr>
            <w:tcW w:type="dxa" w:w="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REF</w:t>
            </w:r>
          </w:p>
        </w:tc>
        <w:tc>
          <w:tcPr>
            <w:tcW w:type="dxa" w:w="62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FLUJOS</w:t>
            </w:r>
          </w:p>
        </w:tc>
        <w:tc>
          <w:tcPr>
            <w:tcW w:type="dxa" w:w="457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SUBPROCESO QUE LO GESTIONA</w:t>
            </w:r>
          </w:p>
        </w:tc>
      </w:tr>
      <w:tr>
        <w:trPr>
          <w:cantSplit/>
        </w:trPr>
        <w:tc>
          <w:tcPr>
            <w:tcW w:type="dxa" w:w="3000"/>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 CLIENTE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1.6</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preparación</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SP.3 Procesamiento de órdenes de preparación</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 TRANSPORTISTA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Identificación y autorización de transportista</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SP.1 Proceso de descarga de mercadería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2.2</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Identificación de bultos recibidos</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SP.1 Proceso de descarga de mercadería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2.3</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del cliente por ingreso de mercadería</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SP.1 Proceso de descarga de mercadería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2.4</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Copia conformada del remito de ingreso</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SP.1 Proceso de descarga de mercadería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2.5</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Nota de diferencias</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SP.1 Proceso de descarga de mercadería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2.6</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Nota de espacio insuficiente</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SP.1 Proceso de descarga de mercadería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2.7a</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Autorización de salida de transporte (órdenes)</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SP.3 Procesamiento de órdenes de preparación</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2.7b</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Autorización de salida de transporte (traslados)</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SP.4 Proceso de despacho de mercadería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2.8</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preparación</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SP.3 Proceso de despacho de mercadería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2.9a</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Remito de entrega de mercaderías (órdenes)</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SP.3 Procesamiento de órdenes de preparación</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2.9b</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Remito de entrega de mercaderías (traslados)</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SP.4 Proceso de despacho de mercadería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2.10a</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 entrega conformado (órdenes)</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SP.3 Procesamiento de órdenes de preparación</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2.10b</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 entrega conformado (traslados)</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SP.4 Proceso de despacho de mercadería</w:t>
            </w:r>
          </w:p>
        </w:tc>
      </w:tr>
      <w:tr>
        <w:trPr>
          <w:cantSplit/>
        </w:trPr>
        <w:tc>
          <w:tcPr>
            <w:tcW w:type="dxa" w:w="30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 ASEGURADORA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5.3</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Denuncia de siniestro</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SP.2 Proceso de almacenamiento de mercadería</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5.4</w:t>
            </w:r>
          </w:p>
        </w:tc>
        <w:tc>
          <w:tcPr>
            <w:tcW w:type="dxa" w:w="62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Resolución de siniestro</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SP.2 Proceso de almacenamiento de mercadería</w:t>
            </w:r>
          </w:p>
        </w:tc>
      </w:tr>
    </w:tbl>
    <w:p>
      <w:pPr>
        <w:spacing w:after="120"/>
      </w:pPr>
    </w:p>
    <w:p>
      <w:pPr>
        <w:pStyle w:val="Heading2"/>
        <w:keepNext/>
        <w:spacing w:after="140" w:before="300"/>
      </w:pPr>
      <w:r>
        <w:rPr>
          <w:rFonts w:ascii="Aptos Display" w:cs="Aptos Display" w:eastAsia="Aptos Display" w:hAnsi="Aptos Display"/>
          <w:b/>
          <w:bCs/>
          <w:i w:val="false"/>
          <w:iCs w:val="false"/>
          <w:color w:val="0F4761"/>
          <w:sz w:val="30"/>
          <w:szCs w:val="30"/>
        </w:rPr>
        <w:t xml:space="preserve">4. Flujos por subproceso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570"/>
        <w:gridCol w:w="800"/>
        <w:gridCol w:w="2400"/>
        <w:gridCol w:w="2800"/>
        <w:gridCol w:w="1000"/>
      </w:tblGrid>
      <w:tr>
        <w:trPr>
          <w:tblHeader/>
        </w:trPr>
        <w:tc>
          <w:tcPr>
            <w:tcW w:type="dxa" w:w="22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SUBPROCESO</w:t>
            </w:r>
          </w:p>
        </w:tc>
        <w:tc>
          <w:tcPr>
            <w:tcW w:type="dxa" w:w="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REF DFD</w:t>
            </w:r>
          </w:p>
        </w:tc>
        <w:tc>
          <w:tcPr>
            <w:tcW w:type="dxa" w:w="457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DESCRIPCIÓN</w:t>
            </w:r>
          </w:p>
        </w:tc>
        <w:tc>
          <w:tcPr>
            <w:tcW w:type="dxa" w:w="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REF DC</w:t>
            </w:r>
          </w:p>
        </w:tc>
        <w:tc>
          <w:tcPr>
            <w:tcW w:type="dxa" w:w="24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TERMINAL</w:t>
            </w:r>
          </w:p>
        </w:tc>
        <w:tc>
          <w:tcPr>
            <w:tcW w:type="dxa" w:w="28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ALMACÉN</w:t>
            </w:r>
          </w:p>
        </w:tc>
        <w:tc>
          <w:tcPr>
            <w:tcW w:type="dxa" w:w="1000"/>
            <w:tcBorders>
              <w:top w:val="single" w:color="A6A6A6" w:sz="4"/>
              <w:left w:val="single" w:color="A6A6A6" w:sz="4"/>
              <w:bottom w:val="single" w:color="A6A6A6" w:sz="4"/>
              <w:right w:val="single" w:color="A6A6A6" w:sz="4"/>
            </w:tcBorders>
            <w:shd w:fill="E97132"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FFFFFF"/>
                <w:sz w:val="17"/>
                <w:szCs w:val="17"/>
              </w:rPr>
              <w:t xml:space="preserve">FUENTE</w:t>
            </w:r>
          </w:p>
        </w:tc>
      </w:tr>
      <w:tr>
        <w:trPr>
          <w:cantSplit/>
        </w:trPr>
        <w:tc>
          <w:tcPr>
            <w:tcW w:type="dxa" w:w="22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SP.1 Recepción e ingreso de mercadería (Descarga)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Identificación y autorización de transportista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Identificación de bultos recibidos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2.2</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del cliente por ingreso de mercadería</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Copia conformada del remito de ingreso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Nota de diferencias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2.5</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Nota de espacio insuficiente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P1.1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Traslado ejecutado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AL.4 Órdenes de traslado interno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DFD2</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SP.1.1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Ingreso de mercadería, diferencias y excedente de espacio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SP.1.2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Condiciones contratadas del cliente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AL.1 Clientes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SP.1.3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Depósitos y posiciones habilitadas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AL.5 Depósitos y posiciones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SP.1.4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Políticas y reglas operativas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AL.9 Políticas, reglas, planes y presupuesto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SP.1.5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Mercadería, SKU y ocupación de posiciones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SP.1.6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Orden de recepción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AL.10 Órdenes de recepción</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tcW w:type="dxa" w:w="22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SP.2 Guarda y stock de mercadería (Almacén)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Denuncia de siniestro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5.3</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5. ASEGURADORA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Resolución de siniestro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5.4</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5. ASEGURADORA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Movimientos de mercadería (ingresos, egresos, traslados, bajas, diferencias y excedentes)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Depósitos y posiciones habilitadas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AL.5 Depósitos y posiciones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Políticas y reglas operativas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AL.9 Políticas, reglas, planes y presupuesto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SP.2.1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traslado a preparar</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AL.4 Órdenes de traslado interno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SP.2.2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recepción pendiente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AL.10 Órdenes de recepción</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SP.2.3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selección pendiente</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AL.11 Órdenes de selección</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SP.2.4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Cumplido de orden de selección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AL.11 Órdenes de selección</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tcW w:type="dxa" w:w="22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SP.3 Procesamiento de órdenes de preparación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preparación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1.6</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1. CLIENTE</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2.7a</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Autorización de salida de transporte (órdenes)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2.7</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2.8</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preparación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2.8</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2.9a</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Remito de entrega de mercaderías (órdenes)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2.9</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2.10a</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 entrega conformado (órdenes)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2.10</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Estado de órdenes de preparación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AL.2 Órdenes de preparación</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A.6</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Políticas y reglas operativas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AL.9 Políticas, reglas, planes y presupuesto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A.8</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Órdenes de preparación y transportista autorizado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AL.2 Órdenes de preparación</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DFD1</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SP.3.1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Movimientos de mercadería (fulfillment)</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SP.3.2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Modalidad contratada (fulfillment / palé cerrado)</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AL.1 Clientes</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SP.3.3</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Mercadería disponible por cliente y posición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SP.3.4</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Orden de selección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AL.11 Órdenes de selección</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SP.3.5</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Cumplido de orden de selección</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AL.11 Órdenes de selección</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tcW w:type="dxa" w:w="2200"/>
            <w:vMerge w:val="restart"/>
            <w:tcBorders>
              <w:top w:val="single" w:color="A6A6A6" w:sz="4"/>
              <w:left w:val="single" w:color="A6A6A6" w:sz="4"/>
              <w:bottom w:val="single" w:color="A6A6A6" w:sz="4"/>
              <w:right w:val="single" w:color="A6A6A6" w:sz="4"/>
            </w:tcBorders>
            <w:shd w:fill="FBE3D6"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SP.4 Proceso de despacho de mercadería entre depósitos.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2.7b</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Autorización de salida de transporte (traslados)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2.7</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2.9b</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Remito de entrega de mercaderías (traslados)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2.9</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2.10b</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Remito de entrega conformado (traslados)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2.10</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2. TRANSPORTISTA</w:t>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DC</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SP.4.1</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S: Movimientos de mercadería (traslados)</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AL.3 Mercadería</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r>
        <w:trPr>
          <w:cantSplit/>
        </w:trPr>
        <w:tc>
          <w:tcPr>
            <w:vMerge w:val="continue"/>
            <w:tcBorders>
              <w:top w:val="single" w:color="A6A6A6" w:sz="4"/>
              <w:left w:val="single" w:color="A6A6A6" w:sz="4"/>
              <w:bottom w:val="single" w:color="A6A6A6" w:sz="4"/>
              <w:right w:val="single" w:color="A6A6A6" w:sz="4"/>
            </w:tcBorders>
          </w:tcP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SP.4.2</w:t>
            </w:r>
          </w:p>
        </w:tc>
        <w:tc>
          <w:tcPr>
            <w:tcW w:type="dxa" w:w="45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E: Orden de traslado a despachar</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
            </w:r>
          </w:p>
        </w:tc>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rFonts w:ascii="Arial" w:cs="Arial" w:eastAsia="Arial" w:hAnsi="Arial"/>
                <w:b w:val="false"/>
                <w:bCs w:val="false"/>
                <w:i w:val="false"/>
                <w:iCs w:val="false"/>
                <w:sz w:val="17"/>
                <w:szCs w:val="17"/>
              </w:rPr>
              <w:t xml:space="preserve">AL.4 Órdenes de traslado interno</w:t>
            </w:r>
          </w:p>
        </w:tc>
        <w:tc>
          <w:tcPr>
            <w:tcW w:type="dxa" w:w="100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rFonts w:ascii="Arial" w:cs="Arial" w:eastAsia="Arial" w:hAnsi="Arial"/>
                <w:b w:val="false"/>
                <w:bCs w:val="false"/>
                <w:i w:val="false"/>
                <w:iCs w:val="false"/>
                <w:sz w:val="17"/>
                <w:szCs w:val="17"/>
              </w:rPr>
              <w:t xml:space="preserve">DFD3</w:t>
            </w:r>
          </w:p>
        </w:tc>
      </w:tr>
    </w:tbl>
    <w:p>
      <w:pPr>
        <w:spacing w:after="120"/>
      </w:pPr>
    </w:p>
    <w:p>
      <w:r>
        <w:br w:type="page"/>
      </w:r>
    </w:p>
    <w:p>
      <w:pPr>
        <w:spacing w:after="120" w:before="120"/>
        <w:jc w:val="both"/>
      </w:pPr>
      <w:r>
        <w:rPr>
          <w:rFonts w:ascii="Times New Roman" w:cs="Times New Roman" w:eastAsia="Times New Roman" w:hAnsi="Times New Roman"/>
          <w:b w:val="false"/>
          <w:bCs w:val="false"/>
          <w:i w:val="false"/>
          <w:iCs w:val="false"/>
          <w:sz w:val="24"/>
          <w:szCs w:val="24"/>
        </w:rPr>
        <w:t xml:space="preserve">4. A partir del DFD3 seleccionar el subproceso que contemple la funcionalidad que como primer requerimiento se incorporó en el documento de información de la empresa (“Procesamiento de órdenes de preparación”). A partir de ello, realizar el o los niveles de DFD que permitan la clara descripción del análisis de esta funcionalidad. Se realizarán los niveles de DFD que sean necesarios para que esa funcionalidad pueda visualizarse en forma independiente del resto.</w:t>
      </w:r>
    </w:p>
    <w:p>
      <w:pPr>
        <w:spacing w:after="120" w:before="120"/>
        <w:jc w:val="both"/>
      </w:pPr>
      <w:r>
        <w:rPr>
          <w:rFonts w:ascii="Times New Roman" w:cs="Times New Roman" w:eastAsia="Times New Roman" w:hAnsi="Times New Roman"/>
          <w:b w:val="false"/>
          <w:bCs w:val="false"/>
          <w:i w:val="false"/>
          <w:iCs w:val="false"/>
          <w:sz w:val="24"/>
          <w:szCs w:val="24"/>
        </w:rPr>
        <w:t xml:space="preserve">5. Identificar en DFD elaborado como último nivel desarrollado, que especifica la funcionalidad del “Procesamiento de órdenes de preparación”, según el apartado anterior, los tipos de flujos (“transformación y/o transacción”) y elaborar un Diagrama de llamado retorno (de invocación) que exhiba los módulos que permitirán construirla. A efectos del TP, se considerará aceptable la elaboración del Diagrama de llamado retorno con la información del DFD realizado. Sin embargo, sería óptimo incorporar módulos de niveles inferiores que, en el diseño pensado, se convocarán para ejecutar las funciones de la aplicación exhibiendo una mayor creatividad y favoreciendo la evaluación del diagrama realizado.</w:t>
      </w:r>
    </w:p>
    <w:p>
      <w:pPr>
        <w:sectPr>
          <w:headerReference w:type="default" r:id="rId8"/>
          <w:footerReference w:type="default" r:id="rId9"/>
          <w:pgSz w:w="16838" w:h="11906" w:orient="landscape"/>
          <w:pgMar w:top="1418" w:right="1134" w:bottom="1134" w:left="1134" w:header="500" w:footer="708" w:gutter="0"/>
          <w:pgNumType/>
          <w:docGrid w:linePitch="360"/>
        </w:sectPr>
      </w:pPr>
    </w:p>
    <w:p>
      <w:r>
        <w:br w:type="page"/>
      </w:r>
    </w:p>
    <w:p/>
    <w:sectPr>
      <w:headerReference w:type="default" r:id="rId10"/>
      <w:footerReference w:type="default" r:id="rId11"/>
      <w:pgSz w:w="11906" w:h="16838" w:orient="portrait"/>
      <w:pgMar w:top="1418" w:right="1134" w:bottom="1134" w:left="1134"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200"/>
      <w:gridCol w:w="4800"/>
    </w:tblGrid>
    <w:tr>
      <w:tc>
        <w:tcPr>
          <w:tcW w:type="dxa" w:w="4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i/>
              <w:iCs/>
              <w:sz w:val="22"/>
              <w:szCs w:val="22"/>
            </w:rPr>
            <w:t xml:space="preserve">Construcción de Aplicaciones Informáticas</w:t>
          </w:r>
        </w:p>
        <w:p>
          <w:r>
            <w:rPr>
              <w:rFonts w:ascii="Times New Roman" w:cs="Times New Roman" w:eastAsia="Times New Roman" w:hAnsi="Times New Roman"/>
              <w:b w:val="false"/>
              <w:bCs w:val="false"/>
              <w:i/>
              <w:iCs/>
              <w:sz w:val="22"/>
              <w:szCs w:val="22"/>
            </w:rPr>
            <w:t xml:space="preserve">2do Cuatrimestre</w:t>
          </w:r>
        </w:p>
      </w:tc>
      <w:tc>
        <w:tcPr>
          <w:tcW w:type="dxa" w:w="4800"/>
          <w:tcBorders>
            <w:top w:val="none" w:color="FFFFFF" w:sz="0"/>
            <w:left w:val="none" w:color="FFFFFF" w:sz="0"/>
            <w:bottom w:val="none" w:color="FFFFFF" w:sz="0"/>
            <w:right w:val="none" w:color="FFFFFF" w:sz="0"/>
          </w:tcBorders>
        </w:tcPr>
        <w:p>
          <w:r>
            <w:drawing>
              <wp:inline distT="0" distB="0" distL="0" distR="0">
                <wp:extent cx="2095500" cy="485775"/>
                <wp:effectExtent t="0" r="0" b="0" l="0"/>
                <wp:docPr id="1" name="hdr" descr="Logo UBA FCE" title="UBA 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0" cy="485775"/>
                        </a:xfrm>
                        <a:prstGeom prst="rect">
                          <a:avLst/>
                        </a:prstGeom>
                      </pic:spPr>
                    </pic:pic>
                  </a:graphicData>
                </a:graphic>
              </wp:inline>
            </w:drawing>
          </w:r>
        </w:p>
      </w:tc>
    </w:tr>
  </w:tbl>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200"/>
      <w:gridCol w:w="4800"/>
    </w:tblGrid>
    <w:tr>
      <w:tc>
        <w:tcPr>
          <w:tcW w:type="dxa" w:w="4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i/>
              <w:iCs/>
              <w:sz w:val="22"/>
              <w:szCs w:val="22"/>
            </w:rPr>
            <w:t xml:space="preserve">Construcción de Aplicaciones Informáticas</w:t>
          </w:r>
        </w:p>
        <w:p>
          <w:r>
            <w:rPr>
              <w:rFonts w:ascii="Times New Roman" w:cs="Times New Roman" w:eastAsia="Times New Roman" w:hAnsi="Times New Roman"/>
              <w:b w:val="false"/>
              <w:bCs w:val="false"/>
              <w:i/>
              <w:iCs/>
              <w:sz w:val="22"/>
              <w:szCs w:val="22"/>
            </w:rPr>
            <w:t xml:space="preserve">2do Cuatrimestre</w:t>
          </w:r>
        </w:p>
      </w:tc>
      <w:tc>
        <w:tcPr>
          <w:tcW w:type="dxa" w:w="4800"/>
          <w:tcBorders>
            <w:top w:val="none" w:color="FFFFFF" w:sz="0"/>
            <w:left w:val="none" w:color="FFFFFF" w:sz="0"/>
            <w:bottom w:val="none" w:color="FFFFFF" w:sz="0"/>
            <w:right w:val="none" w:color="FFFFFF" w:sz="0"/>
          </w:tcBorders>
        </w:tcPr>
        <w:p>
          <w:r>
            <w:drawing>
              <wp:inline distT="0" distB="0" distL="0" distR="0">
                <wp:extent cx="2095500" cy="485775"/>
                <wp:effectExtent t="0" r="0" b="0" l="0"/>
                <wp:docPr id="1" name="hdr" descr="Logo UBA FCE" title="UBA 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0" cy="485775"/>
                        </a:xfrm>
                        <a:prstGeom prst="rect">
                          <a:avLst/>
                        </a:prstGeom>
                      </pic:spPr>
                    </pic:pic>
                  </a:graphicData>
                </a:graphic>
              </wp:inline>
            </w:drawing>
          </w:r>
        </w:p>
      </w:tc>
    </w:tr>
  </w:tbl>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200"/>
      <w:gridCol w:w="4800"/>
    </w:tblGrid>
    <w:tr>
      <w:tc>
        <w:tcPr>
          <w:tcW w:type="dxa" w:w="4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i/>
              <w:iCs/>
              <w:sz w:val="22"/>
              <w:szCs w:val="22"/>
            </w:rPr>
            <w:t xml:space="preserve">Construcción de Aplicaciones Informáticas</w:t>
          </w:r>
        </w:p>
        <w:p>
          <w:r>
            <w:rPr>
              <w:rFonts w:ascii="Times New Roman" w:cs="Times New Roman" w:eastAsia="Times New Roman" w:hAnsi="Times New Roman"/>
              <w:b w:val="false"/>
              <w:bCs w:val="false"/>
              <w:i/>
              <w:iCs/>
              <w:sz w:val="22"/>
              <w:szCs w:val="22"/>
            </w:rPr>
            <w:t xml:space="preserve">2do Cuatrimestre</w:t>
          </w:r>
        </w:p>
      </w:tc>
      <w:tc>
        <w:tcPr>
          <w:tcW w:type="dxa" w:w="4800"/>
          <w:tcBorders>
            <w:top w:val="none" w:color="FFFFFF" w:sz="0"/>
            <w:left w:val="none" w:color="FFFFFF" w:sz="0"/>
            <w:bottom w:val="none" w:color="FFFFFF" w:sz="0"/>
            <w:right w:val="none" w:color="FFFFFF" w:sz="0"/>
          </w:tcBorders>
        </w:tcPr>
        <w:p>
          <w:r>
            <w:drawing>
              <wp:inline distT="0" distB="0" distL="0" distR="0">
                <wp:extent cx="2095500" cy="485775"/>
                <wp:effectExtent t="0" r="0" b="0" l="0"/>
                <wp:docPr id="1" name="hdr" descr="Logo UBA FCE" title="UBA 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0" cy="485775"/>
                        </a:xfrm>
                        <a:prstGeom prst="rect">
                          <a:avLst/>
                        </a:prstGeom>
                      </pic:spPr>
                    </pic:pic>
                  </a:graphicData>
                </a:graphic>
              </wp:inline>
            </w:drawing>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00"/>
      <w:outlineLvl w:val="1"/>
    </w:pPr>
    <w:rPr>
      <w:rFonts w:ascii="Aptos Display" w:cs="Aptos Display" w:eastAsia="Aptos Display" w:hAnsi="Aptos Display"/>
      <w:b/>
      <w:bCs/>
      <w:color w:val="0F476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image" Target="media/ee5c856c84a3abb66127c230514b10eaeccb815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99078399b8a7f8c48b4fc17c255dffdb7ea753d.png"/></Relationships>
</file>

<file path=word/_rels/header2.xml.rels><?xml version="1.0" encoding="UTF-8"?><Relationships xmlns="http://schemas.openxmlformats.org/package/2006/relationships"><Relationship Id="rId0" Type="http://schemas.openxmlformats.org/officeDocument/2006/relationships/image" Target="media/699078399b8a7f8c48b4fc17c255dffdb7ea753d.png"/></Relationships>
</file>

<file path=word/_rels/header3.xml.rels><?xml version="1.0" encoding="UTF-8"?><Relationships xmlns="http://schemas.openxmlformats.org/package/2006/relationships"><Relationship Id="rId0" Type="http://schemas.openxmlformats.org/officeDocument/2006/relationships/image" Target="media/699078399b8a7f8c48b4fc17c255dffdb7ea753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2026-09-26T22:20:02.686Z</dcterms:created>
  <dcterms:modified xsi:type="dcterms:W3CDTF">2026-09-26T22:20:02.695Z</dcterms:modified>
</cp:coreProperties>
</file>

<file path=docProps/custom.xml><?xml version="1.0" encoding="utf-8"?>
<Properties xmlns="http://schemas.openxmlformats.org/officeDocument/2006/custom-properties" xmlns:vt="http://schemas.openxmlformats.org/officeDocument/2006/docPropsVTypes"/>
</file>