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58A3"/>
          <w:sz w:val="16"/>
        </w:rPr>
        <w:t>MANUAL DEL ALUMNO</w:t>
      </w:r>
    </w:p>
    <w:p>
      <w:pPr>
        <w:pStyle w:val="Title"/>
        <w:pBdr>
          <w:bottom w:val="single" w:sz="26" w:space="4" w:color="FBD914"/>
        </w:pBdr>
      </w:pPr>
      <w:r>
        <w:rPr>
          <w:rFonts w:ascii="Arial" w:hAnsi="Arial"/>
          <w:b/>
          <w:color w:val="003B70"/>
          <w:sz w:val="54"/>
        </w:rPr>
        <w:t>Arquitectura de Datos</w:t>
        <w:br/>
        <w:t>en Python y Ciencia Abierta</w:t>
      </w:r>
    </w:p>
    <w:p>
      <w:pPr>
        <w:pStyle w:val="Subtitle"/>
      </w:pPr>
      <w:r>
        <w:rPr>
          <w:rFonts w:ascii="Arial" w:hAnsi="Arial"/>
          <w:color w:val="626262"/>
          <w:sz w:val="26"/>
        </w:rPr>
        <w:t>La velocidad de las frutas · guía de lectura y ejecución</w:t>
      </w:r>
    </w:p>
    <w:p>
      <w:pPr>
        <w:spacing w:after="360"/>
      </w:pPr>
      <w:r>
        <w:rPr>
          <w:rFonts w:ascii="Arial" w:hAnsi="Arial"/>
          <w:b/>
          <w:i w:val="0"/>
          <w:color w:val="222222"/>
          <w:sz w:val="27"/>
        </w:rPr>
        <w:t>No necesita memorizar código. Necesita reconocer qué entra, qué cambia y qué afirmación produce cada paso.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6" w:space="0" w:color="FBD914"/>
              <w:start w:val="single" w:sz="6" w:space="0" w:color="FBD914"/>
              <w:bottom w:val="single" w:sz="6" w:space="0" w:color="FBD914"/>
              <w:end w:val="single" w:sz="6" w:space="0" w:color="FBD914"/>
              <w:insideH w:val="single" w:sz="6" w:space="0" w:color="FBD914"/>
              <w:insideV w:val="single" w:sz="6" w:space="0" w:color="FBD91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3B70"/>
                <w:sz w:val="36"/>
              </w:rPr>
              <w:t>1</w:t>
              <w:br/>
            </w:r>
            <w:r>
              <w:rPr>
                <w:rFonts w:ascii="Arial" w:hAnsi="Arial"/>
                <w:b/>
                <w:color w:val="626262"/>
                <w:sz w:val="14"/>
              </w:rPr>
              <w:t>PREGUNTA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6" w:space="0" w:color="FBD914"/>
              <w:start w:val="single" w:sz="6" w:space="0" w:color="FBD914"/>
              <w:bottom w:val="single" w:sz="6" w:space="0" w:color="FBD914"/>
              <w:end w:val="single" w:sz="6" w:space="0" w:color="FBD914"/>
              <w:insideH w:val="single" w:sz="6" w:space="0" w:color="FBD914"/>
              <w:insideV w:val="single" w:sz="6" w:space="0" w:color="FBD91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3B70"/>
                <w:sz w:val="36"/>
              </w:rPr>
              <w:t>12</w:t>
              <w:br/>
            </w:r>
            <w:r>
              <w:rPr>
                <w:rFonts w:ascii="Arial" w:hAnsi="Arial"/>
                <w:b/>
                <w:color w:val="626262"/>
                <w:sz w:val="14"/>
              </w:rPr>
              <w:t>TRAMOS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6" w:space="0" w:color="FBD914"/>
              <w:start w:val="single" w:sz="6" w:space="0" w:color="FBD914"/>
              <w:bottom w:val="single" w:sz="6" w:space="0" w:color="FBD914"/>
              <w:end w:val="single" w:sz="6" w:space="0" w:color="FBD914"/>
              <w:insideH w:val="single" w:sz="6" w:space="0" w:color="FBD914"/>
              <w:insideV w:val="single" w:sz="6" w:space="0" w:color="FBD91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3B70"/>
                <w:sz w:val="36"/>
              </w:rPr>
              <w:t>500</w:t>
              <w:br/>
            </w:r>
            <w:r>
              <w:rPr>
                <w:rFonts w:ascii="Arial" w:hAnsi="Arial"/>
                <w:b/>
                <w:color w:val="626262"/>
                <w:sz w:val="14"/>
              </w:rPr>
              <w:t>FILAS SINTÉTICAS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6" w:space="0" w:color="FBD914"/>
              <w:start w:val="single" w:sz="6" w:space="0" w:color="FBD914"/>
              <w:bottom w:val="single" w:sz="6" w:space="0" w:color="FBD914"/>
              <w:end w:val="single" w:sz="6" w:space="0" w:color="FBD914"/>
              <w:insideH w:val="single" w:sz="6" w:space="0" w:color="FBD914"/>
              <w:insideV w:val="single" w:sz="6" w:space="0" w:color="FBD91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3B70"/>
                <w:sz w:val="36"/>
              </w:rPr>
              <w:t>0</w:t>
              <w:br/>
            </w:r>
            <w:r>
              <w:rPr>
                <w:rFonts w:ascii="Arial" w:hAnsi="Arial"/>
                <w:b/>
                <w:color w:val="626262"/>
                <w:sz w:val="14"/>
              </w:rPr>
              <w:t>PUBLICACIONES REALES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SIMULACIÓN DOCENTE  </w:t>
            </w:r>
            <w:r>
              <w:rPr>
                <w:rFonts w:ascii="Arial" w:hAnsi="Arial"/>
                <w:b/>
                <w:color w:val="222222"/>
                <w:sz w:val="18"/>
              </w:rPr>
              <w:t>Ninguna observación procede de participantes reales. Las señales son ficticias. El caso no valida símbolos de tráfico ni autoriza recomendaciones viales.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 w:val="0"/>
          <w:i w:val="0"/>
          <w:color w:val="222222"/>
          <w:sz w:val="20"/>
        </w:rPr>
        <w:t>El manual acompaña el cuaderno editable. Léalo como una cadena: cada capítulo recibe un objeto, ejecuta una decisión y deja otro objeto auditable.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01 · MAPA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La cadena completa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IDEA CENTRAL  </w:t>
            </w:r>
            <w:r>
              <w:rPr>
                <w:rFonts w:ascii="Arial" w:hAnsi="Arial"/>
                <w:b/>
                <w:color w:val="222222"/>
                <w:sz w:val="18"/>
              </w:rPr>
              <w:t>Pregunta → evidencia → protocolo → instrumento → dato → análisis → versión → depósito.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62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6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Objeto que conserva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00–15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Juego + privacidad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Decisiones iniciales y token aleatorio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15–45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PICO-D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Hipótesis y diseño mixto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45–60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Elicit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Tabla de evidencia verificada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60–75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ResearchRabbit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Red y artículos semilla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75–90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OSF + ética + DMP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Tres contratos alineados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90–105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FAIR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Capas y reglas de acceso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105–120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Git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Commit y etiqueta prereg-v1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120–128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Streamlit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Instrumento probado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128–135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Prolific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Estudio en borrador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135–142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pandas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Conjunto validado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142–165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Jupyter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Contraste reproducido</w:t>
            </w:r>
          </w:p>
        </w:tc>
      </w:tr>
      <w:tr>
        <w:tc>
          <w:tcPr>
            <w:tcW w:type="dxa" w:w="1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165–180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GitHub + Zenodo</w:t>
            </w:r>
          </w:p>
        </w:tc>
        <w:tc>
          <w:tcPr>
            <w:tcW w:type="dxa" w:w="62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Release y depósito de demostración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i w:val="0"/>
          <w:color w:val="0058A3"/>
          <w:sz w:val="16"/>
        </w:rPr>
        <w:t>Al terminar</w:t>
      </w:r>
    </w:p>
    <w:p>
      <w:pPr>
        <w:spacing w:after="80"/>
      </w:pPr>
      <w:r>
        <w:rPr>
          <w:rFonts w:ascii="Arial" w:hAnsi="Arial"/>
          <w:b/>
          <w:i w:val="0"/>
          <w:color w:val="222222"/>
          <w:sz w:val="18"/>
        </w:rPr>
        <w:t>Debe poder explicar qué dato entra en el análisis, qué decisión estaba cerrada antes de verlo y qué archivos jamás llegarían a un repositorio público.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02 · TOKEN ALEATORIO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Privacidad: anónimo frente a quién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80"/>
        <w:gridCol w:w="33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Criterio operativo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Efecto</w:t>
            </w:r>
          </w:p>
        </w:tc>
      </w:tr>
      <w:tr>
        <w:tc>
          <w:tcPr>
            <w:tcW w:type="dxa" w:w="19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Anónimo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No existe una vía razonable de reidentificación.</w:t>
            </w:r>
          </w:p>
        </w:tc>
        <w:tc>
          <w:tcPr>
            <w:tcW w:type="dxa" w:w="3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Fuera del RGPD solo si la anonimización es efectiva e irreversible.</w:t>
            </w:r>
          </w:p>
        </w:tc>
      </w:tr>
      <w:tr>
        <w:tc>
          <w:tcPr>
            <w:tcW w:type="dxa" w:w="19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Seudonimizado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La identidad puede recuperarse mediante información adicional separada.</w:t>
            </w:r>
          </w:p>
        </w:tc>
        <w:tc>
          <w:tcPr>
            <w:tcW w:type="dxa" w:w="3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Sigue siendo dato personal.</w:t>
            </w:r>
          </w:p>
        </w:tc>
      </w:tr>
      <w:tr>
        <w:tc>
          <w:tcPr>
            <w:tcW w:type="dxa" w:w="19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Codificado/confidencial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La identidad es conocida por el organizador y se oculta a terceros.</w:t>
            </w:r>
          </w:p>
        </w:tc>
        <w:tc>
          <w:tcPr>
            <w:tcW w:type="dxa" w:w="3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No equivale a anonimato.</w:t>
            </w:r>
          </w:p>
        </w:tc>
      </w:tr>
      <w:tr>
        <w:tc>
          <w:tcPr>
            <w:tcW w:type="dxa" w:w="19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k-anonimato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Cada combinación de cuasi-identificadores aparece, al menos, k veces.</w:t>
            </w:r>
          </w:p>
        </w:tc>
        <w:tc>
          <w:tcPr>
            <w:tcW w:type="dxa" w:w="3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Reduce singularización; no impide toda inferencia o enlace.</w:t>
            </w:r>
          </w:p>
        </w:tc>
      </w:tr>
    </w:tbl>
    <w:p>
      <w:pPr>
        <w:spacing w:after="0"/>
      </w:pPr>
    </w:p>
    <w:p>
      <w:pPr>
        <w:pStyle w:val="Heading2"/>
      </w:pPr>
      <w:r>
        <w:t>El ejercicio de aula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No use los últimos dígitos del móvil: son un fragmento real, enlazable y con colisiones.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Entregue un token aleatorio de cinco cifras. El estudiante conserva la llave.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El organizador publica el token ganador; quien lo posee decide identificarse para reclamar el premio.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El token no entra en el CSV analítico ni en GitHub. Se destruye al cerrar el premio.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PRUEBA DE TRES PREGUNTAS  </w:t>
            </w:r>
            <w:r>
              <w:rPr>
                <w:rFonts w:ascii="Arial" w:hAnsi="Arial"/>
                <w:b/>
                <w:color w:val="222222"/>
                <w:sz w:val="18"/>
              </w:rPr>
              <w:t>Si puede singularizar, enlazar o inferir, la etiqueta «anónimo» exige una revisión técnica.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/>
          <w:i w:val="0"/>
          <w:color w:val="A61B1B"/>
          <w:sz w:val="17"/>
        </w:rPr>
        <w:t>La minimización pide recoger lo necesario, no lo que resulte cómodo. Este manual no sustituye la revisión jurídica o institucional.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03 · DISEÑO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PICO-D y el contrato experimental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360"/>
        <w:gridCol w:w="602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Letra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Decisión del caso</w:t>
            </w:r>
          </w:p>
        </w:tc>
      </w:tr>
      <w:tr>
        <w:tc>
          <w:tcPr>
            <w:tcW w:type="dxa" w:w="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P</w:t>
            </w:r>
          </w:p>
        </w:tc>
        <w:tc>
          <w:tcPr>
            <w:tcW w:type="dxa" w:w="33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¿Quién responde?</w:t>
            </w:r>
          </w:p>
        </w:tc>
        <w:tc>
          <w:tcPr>
            <w:tcW w:type="dxa" w:w="60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Adultos con permiso vigente y español</w:t>
            </w:r>
          </w:p>
        </w:tc>
      </w:tr>
      <w:tr>
        <w:tc>
          <w:tcPr>
            <w:tcW w:type="dxa" w:w="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I</w:t>
            </w:r>
          </w:p>
        </w:tc>
        <w:tc>
          <w:tcPr>
            <w:tcW w:type="dxa" w:w="33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condición inicia?</w:t>
            </w:r>
          </w:p>
        </w:tc>
        <w:tc>
          <w:tcPr>
            <w:tcW w:type="dxa" w:w="60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Naranja primero</w:t>
            </w:r>
          </w:p>
        </w:tc>
      </w:tr>
      <w:tr>
        <w:tc>
          <w:tcPr>
            <w:tcW w:type="dxa" w:w="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</w:t>
            </w:r>
          </w:p>
        </w:tc>
        <w:tc>
          <w:tcPr>
            <w:tcW w:type="dxa" w:w="33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¿Contra qué se compara?</w:t>
            </w:r>
          </w:p>
        </w:tc>
        <w:tc>
          <w:tcPr>
            <w:tcW w:type="dxa" w:w="60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Plátano primero</w:t>
            </w:r>
          </w:p>
        </w:tc>
      </w:tr>
      <w:tr>
        <w:tc>
          <w:tcPr>
            <w:tcW w:type="dxa" w:w="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O</w:t>
            </w:r>
          </w:p>
        </w:tc>
        <w:tc>
          <w:tcPr>
            <w:tcW w:type="dxa" w:w="33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medimos y cuándo?</w:t>
            </w:r>
          </w:p>
        </w:tc>
        <w:tc>
          <w:tcPr>
            <w:tcW w:type="dxa" w:w="60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velocidad_primera_kmh</w:t>
            </w:r>
          </w:p>
        </w:tc>
      </w:tr>
      <w:tr>
        <w:tc>
          <w:tcPr>
            <w:tcW w:type="dxa" w:w="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D</w:t>
            </w:r>
          </w:p>
        </w:tc>
        <w:tc>
          <w:tcPr>
            <w:tcW w:type="dxa" w:w="33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diseño produce el contraste?</w:t>
            </w:r>
          </w:p>
        </w:tc>
        <w:tc>
          <w:tcPr>
            <w:tcW w:type="dxa" w:w="60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Asignación 1:1 entre sujetos para el primario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HIPÓTESIS CONGELADA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H0: E[velocidad_primera | naranja_primero] &lt;=</w:t>
              <w:br/>
              <w:t xml:space="preserve">    E[velocidad_primera | platano_primero]</w:t>
              <w:br/>
              <w:br/>
              <w:t>H1: E[velocidad_primera | naranja_primero] &gt;</w:t>
              <w:br/>
              <w:t xml:space="preserve">    E[velocidad_primera | platano_primero]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 w:val="0"/>
          <w:i w:val="0"/>
          <w:color w:val="222222"/>
          <w:sz w:val="18"/>
        </w:rPr>
        <w:t>El diseño es mixto: cada persona responde a dos símbolos. El contraste confirmatorio, sin embargo, es entre sujetos y usa solo la primera decisión. La segunda ya conoce el otro símbolo y queda para anclaje, contraste y coordinación.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ESCALA  </w:t>
            </w:r>
            <w:r>
              <w:rPr>
                <w:rFonts w:ascii="Arial" w:hAnsi="Arial"/>
                <w:b/>
                <w:color w:val="222222"/>
                <w:sz w:val="18"/>
              </w:rPr>
              <w:t>Opciones: 30, 50, 70, 90, 110 y 130 km/h. Confianza 0–100. Texto final opcional y restringido.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/>
          <w:i w:val="0"/>
          <w:color w:val="222222"/>
          <w:sz w:val="18"/>
        </w:rPr>
        <w:t>Estimando: Δ = media inicial de naranja − media inicial de plátano. Una media no implica que exista una velocidad correcta.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04 · CONFIRMATORIO Y SECUNDARIO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Diseñar antes de analizar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438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Variables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Pregunta</w:t>
            </w:r>
          </w:p>
        </w:tc>
      </w:tr>
      <w:tr>
        <w:tc>
          <w:tcPr>
            <w:tcW w:type="dxa" w:w="1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Confirmatorio</w:t>
            </w:r>
          </w:p>
        </w:tc>
        <w:tc>
          <w:tcPr>
            <w:tcW w:type="dxa" w:w="41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símbolo_primero + velocidad_primera_kmh</w:t>
            </w:r>
          </w:p>
        </w:tc>
        <w:tc>
          <w:tcPr>
            <w:tcW w:type="dxa" w:w="4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¿La media inicial de naranja es mayor?</w:t>
            </w:r>
          </w:p>
        </w:tc>
      </w:tr>
      <w:tr>
        <w:tc>
          <w:tcPr>
            <w:tcW w:type="dxa" w:w="1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Secundario</w:t>
            </w:r>
          </w:p>
        </w:tc>
        <w:tc>
          <w:tcPr>
            <w:tcW w:type="dxa" w:w="41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ambas velocidades + orden</w:t>
            </w:r>
          </w:p>
        </w:tc>
        <w:tc>
          <w:tcPr>
            <w:tcW w:type="dxa" w:w="4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¿Hay anclaje, contraste o covariación?</w:t>
            </w:r>
          </w:p>
        </w:tc>
      </w:tr>
      <w:tr>
        <w:tc>
          <w:tcPr>
            <w:tcW w:type="dxa" w:w="1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Secundario</w:t>
            </w:r>
          </w:p>
        </w:tc>
        <w:tc>
          <w:tcPr>
            <w:tcW w:type="dxa" w:w="41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distribución 2×6</w:t>
            </w:r>
          </w:p>
        </w:tc>
        <w:tc>
          <w:tcPr>
            <w:tcW w:type="dxa" w:w="4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¿Cambian las categorías completas?</w:t>
            </w:r>
          </w:p>
        </w:tc>
      </w:tr>
      <w:tr>
        <w:tc>
          <w:tcPr>
            <w:tcW w:type="dxa" w:w="1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Secundario</w:t>
            </w:r>
          </w:p>
        </w:tc>
        <w:tc>
          <w:tcPr>
            <w:tcW w:type="dxa" w:w="41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Σp(v)²</w:t>
            </w:r>
          </w:p>
        </w:tc>
        <w:tc>
          <w:tcPr>
            <w:tcW w:type="dxa" w:w="4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símbolo concentra más coincidencias?</w:t>
            </w:r>
          </w:p>
        </w:tc>
      </w:tr>
      <w:tr>
        <w:tc>
          <w:tcPr>
            <w:tcW w:type="dxa" w:w="1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Exploratorio</w:t>
            </w:r>
          </w:p>
        </w:tc>
        <w:tc>
          <w:tcPr>
            <w:tcW w:type="dxa" w:w="41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texto abierto → Regex</w:t>
            </w:r>
          </w:p>
        </w:tc>
        <w:tc>
          <w:tcPr>
            <w:tcW w:type="dxa" w:w="4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motivos aparecen?</w:t>
            </w:r>
          </w:p>
        </w:tc>
      </w:tr>
    </w:tbl>
    <w:p>
      <w:pPr>
        <w:spacing w:after="0"/>
      </w:pPr>
    </w:p>
    <w:p>
      <w:pPr>
        <w:pStyle w:val="Heading2"/>
      </w:pPr>
      <w:r>
        <w:t>Regla temporal</w:t>
      </w: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DESIGUALDAD ESTRICTA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speeders = (tiempo_primera_s &lt; 2.0) | (tiempo_segunda_s &lt; 2.0)</w:t>
              <w:br/>
              <w:t>analitico = datos.loc[~speeders].copy()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/>
          <w:color w:val="222222"/>
          <w:sz w:val="18"/>
        </w:rPr>
        <w:t>1,999 s se excluye.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2,000 s permanece.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La regla no mira el grupo, la velocidad ni la significación.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La exclusión analítica no modifica el pago base ni la bonificación.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DECISIÓN  </w:t>
            </w:r>
            <w:r>
              <w:rPr>
                <w:rFonts w:ascii="Arial" w:hAnsi="Arial"/>
                <w:b/>
                <w:color w:val="222222"/>
                <w:sz w:val="18"/>
              </w:rPr>
              <w:t>Medir bien consiste en cerrar puertas antes de saber cuál conduce al resultado deseado.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05 · LITERATURA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Elicit: una tabla que obliga a verificar</w:t>
      </w: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CONSULTA COPIABLE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Which experimental studies have measured whether people associate</w:t>
              <w:br/>
              <w:t>fruits or foods with fast versus slow?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748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7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Qué debe contener</w:t>
            </w:r>
          </w:p>
        </w:tc>
      </w:tr>
      <w:tr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Población y N</w:t>
            </w:r>
          </w:p>
        </w:tc>
        <w:tc>
          <w:tcPr>
            <w:tcW w:type="dxa" w:w="7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Muestra analizada y denominador</w:t>
            </w:r>
          </w:p>
        </w:tc>
      </w:tr>
      <w:tr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Diseño y tarea</w:t>
            </w:r>
          </w:p>
        </w:tc>
        <w:tc>
          <w:tcPr>
            <w:tcW w:type="dxa" w:w="7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Asignación, estímulos y procedimiento</w:t>
            </w:r>
          </w:p>
        </w:tc>
      </w:tr>
      <w:tr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Resultado</w:t>
            </w:r>
          </w:p>
        </w:tc>
        <w:tc>
          <w:tcPr>
            <w:tcW w:type="dxa" w:w="7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Recuento, estimación e incertidumbre</w:t>
            </w:r>
          </w:p>
        </w:tc>
      </w:tr>
      <w:tr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Límite</w:t>
            </w:r>
          </w:p>
        </w:tc>
        <w:tc>
          <w:tcPr>
            <w:tcW w:type="dxa" w:w="7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Qué inferencia no permite el estudio</w:t>
            </w:r>
          </w:p>
        </w:tc>
      </w:tr>
      <w:tr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Trazabilidad</w:t>
            </w:r>
          </w:p>
        </w:tc>
        <w:tc>
          <w:tcPr>
            <w:tcW w:type="dxa" w:w="7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DOI y página/sección/tabla/figura</w:t>
            </w:r>
          </w:p>
        </w:tc>
      </w:tr>
      <w:tr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Estado</w:t>
            </w:r>
          </w:p>
        </w:tc>
        <w:tc>
          <w:tcPr>
            <w:tcW w:type="dxa" w:w="7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VERIFICADA o PENDIENTE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 w:val="0"/>
          <w:i w:val="0"/>
          <w:color w:val="222222"/>
          <w:sz w:val="18"/>
        </w:rPr>
        <w:t>Woods et al. (2013) observaron asociaciones limón–rápido y ciruela pasa–lento. Es un antecedente. No midieron naranja frente a plátano, km/h, coordinación incentivada ni seguridad vial.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REGLA  </w:t>
            </w:r>
            <w:r>
              <w:rPr>
                <w:rFonts w:ascii="Arial" w:hAnsi="Arial"/>
                <w:b/>
                <w:color w:val="222222"/>
                <w:sz w:val="18"/>
              </w:rPr>
              <w:t>Elicit localiza y estructura. El artículo original decide qué celda sobrevive.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06 · LITERATURA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ResearchRabbit: la red no reemplaza la lectura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200"/>
        <w:gridCol w:w="488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Semilla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Rama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30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Woods et al. (2013)</w:t>
            </w:r>
          </w:p>
        </w:tc>
        <w:tc>
          <w:tcPr>
            <w:tcW w:type="dxa" w:w="2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Correspondencia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Dato alimento–velocidad</w:t>
            </w:r>
          </w:p>
        </w:tc>
      </w:tr>
      <w:tr>
        <w:tc>
          <w:tcPr>
            <w:tcW w:type="dxa" w:w="30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Spence (2023)</w:t>
            </w:r>
          </w:p>
        </w:tc>
        <w:tc>
          <w:tcPr>
            <w:tcW w:type="dxa" w:w="2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Síntesis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Contexto sobre correspondencias</w:t>
            </w:r>
          </w:p>
        </w:tc>
      </w:tr>
      <w:tr>
        <w:tc>
          <w:tcPr>
            <w:tcW w:type="dxa" w:w="30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Mehta et al. (1994)</w:t>
            </w:r>
          </w:p>
        </w:tc>
        <w:tc>
          <w:tcPr>
            <w:tcW w:type="dxa" w:w="2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Coordinación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Mecanismo de punto focal</w:t>
            </w:r>
          </w:p>
        </w:tc>
      </w:tr>
      <w:tr>
        <w:tc>
          <w:tcPr>
            <w:tcW w:type="dxa" w:w="30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Shinar et al. (2003)</w:t>
            </w:r>
          </w:p>
        </w:tc>
        <w:tc>
          <w:tcPr>
            <w:tcW w:type="dxa" w:w="22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Límite</w:t>
            </w:r>
          </w:p>
        </w:tc>
        <w:tc>
          <w:tcPr>
            <w:tcW w:type="dxa" w:w="48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Variación intercultural en señales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/>
          <w:color w:val="222222"/>
          <w:sz w:val="18"/>
        </w:rPr>
        <w:t>Refs lleva hacia trabajos anteriores.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Cited by muestra trabajos que citan la semilla.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Los vecinos sirven para ampliar la búsqueda, no para aceptar conclusiones.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Todo candidato nuevo entra primero en PENDIENTES_VERIFICAR.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LÍMITE  </w:t>
            </w:r>
            <w:r>
              <w:rPr>
                <w:rFonts w:ascii="Arial" w:hAnsi="Arial"/>
                <w:b/>
                <w:color w:val="222222"/>
                <w:sz w:val="18"/>
              </w:rPr>
              <w:t>Citar juntos dos artículos no convierte sus variables en equivalentes.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07 · GOBIERNO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Prerregistro, ética y DMP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56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5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Prerregistro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analizamos?</w:t>
            </w:r>
          </w:p>
        </w:tc>
        <w:tc>
          <w:tcPr>
            <w:tcW w:type="dxa" w:w="56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N, primario, exclusión, test, alfa y secundarios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Ética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podemos pedir?</w:t>
            </w:r>
          </w:p>
        </w:tc>
        <w:tc>
          <w:tcPr>
            <w:tcW w:type="dxa" w:w="56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Información, consentimiento, riesgos, pago y retirada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DMP</w:t>
            </w:r>
          </w:p>
        </w:tc>
        <w:tc>
          <w:tcPr>
            <w:tcW w:type="dxa" w:w="2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puede salir?</w:t>
            </w:r>
          </w:p>
        </w:tc>
        <w:tc>
          <w:tcPr>
            <w:tcW w:type="dxa" w:w="56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Inventario, acceso, transformación, licencia y retención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/>
          <w:color w:val="222222"/>
          <w:sz w:val="18"/>
        </w:rPr>
        <w:t>N=500, asignación 1:1, sin análisis intermedios.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Welch unilateral, equal_var=False, alternative='greater', α=0,05.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No se solicita número de permiso, IP, geolocalización ni fotografía.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El texto abierto es opcional, restringido y se revisa antes de derivar categorías.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Toda desviación conserva fecha, motivo y acceso previo a resultados.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AUDITORÍA CRUZADA  </w:t>
            </w:r>
            <w:r>
              <w:rPr>
                <w:rFonts w:ascii="Arial" w:hAnsi="Arial"/>
                <w:b/>
                <w:color w:val="222222"/>
                <w:sz w:val="18"/>
              </w:rPr>
              <w:t>Si velocidad_primera_kmh, 2.0, HMAC o bonificación cambian de significado entre fichas, el sistema tiene una grieta.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08 · ARQUITECTURA DE DATOS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FAIR: abierto bajo reglas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80"/>
        <w:gridCol w:w="3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Nunca confundir con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Bruta</w:t>
            </w:r>
          </w:p>
        </w:tc>
        <w:tc>
          <w:tcPr>
            <w:tcW w:type="dxa" w:w="45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Preservar la entrada original</w:t>
            </w:r>
          </w:p>
        </w:tc>
        <w:tc>
          <w:tcPr>
            <w:tcW w:type="dxa" w:w="3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Archivo de trabajo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Restringida</w:t>
            </w:r>
          </w:p>
        </w:tc>
        <w:tc>
          <w:tcPr>
            <w:tcW w:type="dxa" w:w="45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Guardar enlaces, texto, tiempos exactos y pagos</w:t>
            </w:r>
          </w:p>
        </w:tc>
        <w:tc>
          <w:tcPr>
            <w:tcW w:type="dxa" w:w="3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Repositorio público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Analítica</w:t>
            </w:r>
          </w:p>
        </w:tc>
        <w:tc>
          <w:tcPr>
            <w:tcW w:type="dxa" w:w="45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Contener transformaciones y variables derivadas</w:t>
            </w:r>
          </w:p>
        </w:tc>
        <w:tc>
          <w:tcPr>
            <w:tcW w:type="dxa" w:w="3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Original inmutable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Pública</w:t>
            </w:r>
          </w:p>
        </w:tc>
        <w:tc>
          <w:tcPr>
            <w:tcW w:type="dxa" w:w="45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Permitir reutilización de datos sintéticos minimizados</w:t>
            </w:r>
          </w:p>
        </w:tc>
        <w:tc>
          <w:tcPr>
            <w:tcW w:type="dxa" w:w="3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Todo el proyecto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 w:val="0"/>
          <w:i w:val="0"/>
          <w:color w:val="222222"/>
          <w:sz w:val="18"/>
        </w:rPr>
        <w:t>Encontrable exige metadatos. Accesible exige condiciones. Interoperable exige formatos y vocabulario. Reutilizable exige licencia, diccionario, procedencia y transformaciones.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CSV UTF-8 para tablas; JSON para resultados; PNG/SVG para figuras; Markdown/PDF para lectura.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CC BY 4.0 para documentación y datos sintéticos; MIT para código propio.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PROLIFIC_PID, SESSION_ID, HMAC, timestamps exactos, texto abierto, pair_id y pagos permanecen fuera.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PRINCIPIO  </w:t>
            </w:r>
            <w:r>
              <w:rPr>
                <w:rFonts w:ascii="Arial" w:hAnsi="Arial"/>
                <w:b/>
                <w:color w:val="222222"/>
                <w:sz w:val="18"/>
              </w:rPr>
              <w:t>FAIR describe el recorrido del dato. No es sinónimo de acceso irrestricto.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09 · TRAZABILIDAD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Carpetas y Git</w:t>
      </w: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ESTRUCTURA MÍNIMA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proyecto/</w:t>
              <w:br/>
              <w:t>├─ 01_literatura/</w:t>
              <w:br/>
              <w:t>├─ 02_protocolo/</w:t>
              <w:br/>
              <w:t>├─ 03_datos_raw/</w:t>
              <w:br/>
              <w:t>├─ 04_datos_publicos/</w:t>
              <w:br/>
              <w:t>├─ 05_analisis/</w:t>
              <w:br/>
              <w:t>└─ 06_publicacion/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SECUENCIA COPIABLE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git status --short</w:t>
              <w:br/>
              <w:t>git diff</w:t>
              <w:br/>
              <w:t>git add 02_PROTOCOLO 04_DATOS/metadata</w:t>
              <w:br/>
              <w:t>git diff --staged</w:t>
              <w:br/>
              <w:t>git commit -m "protocol: freeze design and data rules"</w:t>
              <w:br/>
              <w:t>git tag -a prereg-v1 -m "Congelación docente previa al dato"</w:t>
              <w:br/>
              <w:t>git log --oneline --decorate -5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 w:val="0"/>
          <w:i w:val="0"/>
          <w:color w:val="222222"/>
          <w:sz w:val="18"/>
        </w:rPr>
        <w:t>Las carpetas separan estados. Git conserva diferencias. Un commit atómico contiene una decisión; la etiqueta identifica el estado previo al dato.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HÁBITO  </w:t>
            </w:r>
            <w:r>
              <w:rPr>
                <w:rFonts w:ascii="Arial" w:hAnsi="Arial"/>
                <w:b/>
                <w:color w:val="222222"/>
                <w:sz w:val="18"/>
              </w:rPr>
              <w:t>Inspeccione git diff --staged antes de confirmar. Para deshacer historia compartida, use un nuevo commit o git revert.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10 · INSTRUMENTO Y MUESTRA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Streamlit y Prolific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00"/>
        <w:gridCol w:w="36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Prueba mínima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Streamlit</w:t>
            </w:r>
          </w:p>
        </w:tc>
        <w:tc>
          <w:tcPr>
            <w:tcW w:type="dxa" w:w="4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Ejecutar consentimiento, orden, respuestas y guardado</w:t>
            </w:r>
          </w:p>
        </w:tc>
        <w:tc>
          <w:tcPr>
            <w:tcW w:type="dxa" w:w="36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Recargar no cambia orden ni duplica envío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Prolific</w:t>
            </w:r>
          </w:p>
        </w:tc>
        <w:tc>
          <w:tcPr>
            <w:tcW w:type="dxa" w:w="4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Reclutar, pagar y devolver a plataforma</w:t>
            </w:r>
          </w:p>
        </w:tc>
        <w:tc>
          <w:tcPr>
            <w:tcW w:type="dxa" w:w="36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Preview con parámetros y retorno</w:t>
            </w:r>
          </w:p>
        </w:tc>
      </w:tr>
      <w:tr>
        <w:tc>
          <w:tcPr>
            <w:tcW w:type="dxa" w:w="18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Almacenamiento</w:t>
            </w:r>
          </w:p>
        </w:tc>
        <w:tc>
          <w:tcPr>
            <w:tcW w:type="dxa" w:w="4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Persistir una sesión una sola vez</w:t>
            </w:r>
          </w:p>
        </w:tc>
        <w:tc>
          <w:tcPr>
            <w:tcW w:type="dxa" w:w="36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Fallo impide redirección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PARÁMETROS EXTERNOS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https://[DOMINIO_APP]/?modo=docente</w:t>
              <w:br/>
              <w:t>&amp;PROLIFIC_PID={{%PROLIFIC_PID%}}</w:t>
              <w:br/>
              <w:t>&amp;STUDY_ID={{%STUDY_ID%}}</w:t>
              <w:br/>
              <w:t>&amp;SESSION_ID={{%SESSION_ID%}}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/>
          <w:color w:val="222222"/>
          <w:sz w:val="18"/>
        </w:rPr>
        <w:t>Duración 4 minutos; 500 plazas; pago base £0.60 = £9/h.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Edad 18+, español fluido, ordenador y permiso vigente por autodeclaración.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El bono equivalente a 0,50 € va aparte y nunca corrige un pago base insuficiente.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El estudio docente permanece en borrador: no publicar ni reservar presupuesto.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SEPARACIÓN  </w:t>
            </w:r>
            <w:r>
              <w:rPr>
                <w:rFonts w:ascii="Arial" w:hAnsi="Arial"/>
                <w:b/>
                <w:color w:val="222222"/>
                <w:sz w:val="18"/>
              </w:rPr>
              <w:t>La aplicación implementa el protocolo. Prolific ejecuta el reclutamiento. Ninguna plataforma reemplaza el diseño.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11 · DATOS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Leer pandas sin memorizar Python</w:t>
      </w: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1 · CARGAR Y MIRAR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import pandas as pd</w:t>
              <w:br/>
              <w:br/>
              <w:t>datos = pd.read_csv(RUTA_CSV)</w:t>
              <w:br/>
              <w:t>print(datos.shape)</w:t>
              <w:br/>
              <w:t>display(datos.head(3))</w:t>
              <w:br/>
              <w:t>datos.info()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2 · FILTRAR CON LA REGLA CONGELADA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analisis = datos.loc[</w:t>
              <w:br/>
              <w:t xml:space="preserve">    (datos["tiempo_primera_s"] &gt;= 2.0)</w:t>
              <w:br/>
              <w:t xml:space="preserve">    &amp; (datos["tiempo_segunda_s"] &gt;= 2.0)</w:t>
              <w:br/>
              <w:t>].copy()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3 · AGRUPAR Y CALCULAR MEDIAS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resumen = (</w:t>
              <w:br/>
              <w:t xml:space="preserve">    analisis.groupby("orden")</w:t>
              <w:br/>
              <w:t xml:space="preserve">    .agg(n=("velocidad_primera_kmh", "size"),</w:t>
              <w:br/>
              <w:t xml:space="preserve">         media=("velocidad_primera_kmh", "mean"))</w:t>
              <w:br/>
              <w:t xml:space="preserve">    .round(2)</w:t>
              <w:br/>
              <w:t>)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3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8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=</w:t>
            </w:r>
          </w:p>
        </w:tc>
        <w:tc>
          <w:tcPr>
            <w:tcW w:type="dxa" w:w="8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Asigna un nombre; no compara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[ ]</w:t>
            </w:r>
          </w:p>
        </w:tc>
        <w:tc>
          <w:tcPr>
            <w:tcW w:type="dxa" w:w="8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Selecciona columna o condición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.función()</w:t>
            </w:r>
          </w:p>
        </w:tc>
        <w:tc>
          <w:tcPr>
            <w:tcW w:type="dxa" w:w="8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Aplica una operación al objeto de la izquierda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&amp; / |</w:t>
            </w:r>
          </w:p>
        </w:tc>
        <w:tc>
          <w:tcPr>
            <w:tcW w:type="dxa" w:w="8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Combina condiciones con Y / O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#</w:t>
            </w:r>
          </w:p>
        </w:tc>
        <w:tc>
          <w:tcPr>
            <w:tcW w:type="dxa" w:w="83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Introduce un comentario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12 · PYTHON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Jupyter: leer una tubería de análisis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60"/>
        <w:gridCol w:w="342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Pregunta de lectura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Objeto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Importar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bibliotecas entran?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pd, np, sns, stats, smf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Cargar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archivo se abre?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DataFrame datos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Validar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error detiene el flujo?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Contrato satisfecho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Filtrar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filas sobreviven?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analisis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Agrupar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media obtiene cada grupo?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resumen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Mostrar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distribución representa la figura?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histograma/barras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Contrastar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test estaba escrito?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Welch unilateral</w:t>
            </w:r>
          </w:p>
        </w:tc>
      </w:tr>
      <w:tr>
        <w:tc>
          <w:tcPr>
            <w:tcW w:type="dxa" w:w="15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Modelizar</w:t>
            </w:r>
          </w:p>
        </w:tc>
        <w:tc>
          <w:tcPr>
            <w:tcW w:type="dxa" w:w="516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¿Qué está a la izquierda de ~?</w:t>
            </w:r>
          </w:p>
        </w:tc>
        <w:tc>
          <w:tcPr>
            <w:tcW w:type="dxa" w:w="342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resultado OLS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CONTRASTE CONFIRMATORIO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resultado = stats.ttest_ind(</w:t>
              <w:br/>
              <w:t xml:space="preserve">    grupo_naranja,</w:t>
              <w:br/>
              <w:t xml:space="preserve">    grupo_platano,</w:t>
              <w:br/>
              <w:t xml:space="preserve">    equal_var=False,</w:t>
              <w:br/>
              <w:t xml:space="preserve">    alternative="greater",</w:t>
              <w:br/>
              <w:t>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REGRESIÓN SECUNDARIA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modelo = smf.ols(</w:t>
              <w:br/>
              <w:t xml:space="preserve">    "velocidad_naranja_kmh ~ velocidad_platano_kmh + C(orden)",</w:t>
              <w:br/>
              <w:t xml:space="preserve">    data=analisis,</w:t>
              <w:br/>
              <w:t>).fit(cov_type="HC3")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CAMBIO SEGURO  </w:t>
            </w:r>
            <w:r>
              <w:rPr>
                <w:rFonts w:ascii="Arial" w:hAnsi="Arial"/>
                <w:b/>
                <w:color w:val="222222"/>
                <w:sz w:val="18"/>
              </w:rPr>
              <w:t>Cambiar un código hexadecimal modifica la figura. No modifica el CSV, las medias ni el test.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13 · SIMULACIÓN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Leer el resultado sin ampliar la afirmación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648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Medida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Resultado sintético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Recibidos / válidos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500 / 480; 240 por grupo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Media naranja primero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89,25 km/h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Media plátano primero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68,67 km/h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Diferencia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20,58 km/h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IC 95 %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17,69–23,48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Welch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t≈13,96; p&lt;0,001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Cohen d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≈1,27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Coordinación Σp²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0,377 naranja; 0,328 plátano</w:t>
            </w:r>
          </w:p>
        </w:tc>
      </w:tr>
      <w:tr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OLS secundaria</w:t>
            </w:r>
          </w:p>
        </w:tc>
        <w:tc>
          <w:tcPr>
            <w:tcW w:type="dxa" w:w="64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pendiente ≈0,46; orden ≈+3,23 km/h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2" w:space="0" w:color="EAF2F8"/>
              <w:start w:val="single" w:sz="2" w:space="0" w:color="EAF2F8"/>
              <w:bottom w:val="single" w:sz="2" w:space="0" w:color="EAF2F8"/>
              <w:end w:val="single" w:sz="2" w:space="0" w:color="EAF2F8"/>
              <w:insideH w:val="single" w:sz="2" w:space="0" w:color="EAF2F8"/>
              <w:insideV w:val="single" w:sz="2" w:space="0" w:color="EAF2F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FRASE PERMITIDA  </w:t>
            </w:r>
            <w:r>
              <w:rPr>
                <w:rFonts w:ascii="Arial" w:hAnsi="Arial"/>
                <w:b/>
                <w:color w:val="222222"/>
                <w:sz w:val="18"/>
              </w:rPr>
              <w:t>En esta simulación y bajo esta tarea de coordinación, el grupo que vio primero la naranja asignó una velocidad inicial media mayor.</w:t>
            </w:r>
          </w:p>
        </w:tc>
      </w:tr>
    </w:tbl>
    <w:p>
      <w:pPr>
        <w:spacing w:after="0"/>
      </w:pPr>
    </w:p>
    <w:p>
      <w:pPr>
        <w:pStyle w:val="Heading2"/>
      </w:pPr>
      <w:r>
        <w:t>No puede afirmar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que la naranja deba usarse como señal rápida;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que conductores reales responderán igual;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que el resultado funciona en cualquier país o idioma;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que la tarea mejora la seguridad vial;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que los análisis secundarios sustituyen al primario.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14 · PUBLICACIÓN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GitHub, release, Zenodo y DOI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80"/>
        <w:gridCol w:w="43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Qué aporta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Qué no aporta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Git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Historia local de cambios</w:t>
            </w:r>
          </w:p>
        </w:tc>
        <w:tc>
          <w:tcPr>
            <w:tcW w:type="dxa" w:w="4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Acceso remoto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GitHub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Sincronización e inspección remota</w:t>
            </w:r>
          </w:p>
        </w:tc>
        <w:tc>
          <w:tcPr>
            <w:tcW w:type="dxa" w:w="4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Permanencia científica por sí sola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Release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Nombre y paquete de una versión</w:t>
            </w:r>
          </w:p>
        </w:tc>
        <w:tc>
          <w:tcPr>
            <w:tcW w:type="dxa" w:w="4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Depósito independiente</w:t>
            </w:r>
          </w:p>
        </w:tc>
      </w:tr>
      <w:tr>
        <w:tc>
          <w:tcPr>
            <w:tcW w:type="dxa" w:w="17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6"/>
              </w:rPr>
              <w:t>Zenodo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Conservación, metadatos y DOI al publicar</w:t>
            </w:r>
          </w:p>
        </w:tc>
        <w:tc>
          <w:tcPr>
            <w:tcW w:type="dxa" w:w="43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6"/>
              </w:rPr>
              <w:t>Permiso para publicar datos restringidos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/>
          <w:b/>
          <w:color w:val="0058A3"/>
          <w:sz w:val="15"/>
        </w:rPr>
        <w:t>REVISIÓN ANTES DE SALIR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0F0F0"/>
            <w:tcBorders>
              <w:top w:val="single" w:sz="5" w:space="0" w:color="D1D1D1"/>
              <w:start w:val="single" w:sz="5" w:space="0" w:color="D1D1D1"/>
              <w:bottom w:val="single" w:sz="5" w:space="0" w:color="D1D1D1"/>
              <w:end w:val="single" w:sz="5" w:space="0" w:color="D1D1D1"/>
              <w:insideH w:val="single" w:sz="5" w:space="0" w:color="D1D1D1"/>
              <w:insideV w:val="single" w:sz="5" w:space="0" w:color="D1D1D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5"/>
              </w:rPr>
              <w:t>git status --short</w:t>
              <w:br/>
              <w:t>git grep -n -I -E "PROLIFIC_PID|SESSION_ID|hmac|pair_id"</w:t>
              <w:br/>
              <w:t>git tag -a v1.0.0-demo -m "Release docente"</w:t>
              <w:br/>
              <w:t># Después: release en borrador y depósito Sandbox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/>
          <w:color w:val="222222"/>
          <w:sz w:val="18"/>
        </w:rPr>
        <w:t>Genere el paquete desde una lista positiva de archivos publicables.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Incluya CITATION.cff, licencias y manifiesto SHA-256.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Guarde el release como borrador y el depósito en Sandbox.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Un DOI se vuelve citable cuando el depósito apropiado se publica; este curso se detiene antes.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CADENA  </w:t>
            </w:r>
            <w:r>
              <w:rPr>
                <w:rFonts w:ascii="Arial" w:hAnsi="Arial"/>
                <w:b/>
                <w:color w:val="222222"/>
                <w:sz w:val="18"/>
              </w:rPr>
              <w:t>commit → tag → release → depósito → DOI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15 · QUÉ CONSERVAR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Caja de herramientas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600"/>
        <w:gridCol w:w="408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Acción mínima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58A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PICO-D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Nombrar población, comparación y outcome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Hipótesis refutable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Elicit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Extraer y verificar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Tabla con ubicación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ResearchRabbit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Navegar Refs/Cited by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Red por funciones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OSF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Crear borrador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Protocolo congelable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FAIR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Separar capas y accesos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DMP operativo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Git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Inspeccionar y confirmar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Commit atómico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Streamlit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Probar flujo y persistencia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Instrumento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Prolific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Auditar Preview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Borrador de muestra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pandas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Cargar, validar, agrupar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DataFrame analítico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Jupyter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Ejecutar y leer salidas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  <w:shd w:fill="FAFAFA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Notebook</w:t>
            </w:r>
          </w:p>
        </w:tc>
      </w:tr>
      <w:tr>
        <w:tc>
          <w:tcPr>
            <w:tcW w:type="dxa" w:w="24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5"/>
              </w:rPr>
              <w:t>GitHub + Zenodo</w:t>
            </w:r>
          </w:p>
        </w:tc>
        <w:tc>
          <w:tcPr>
            <w:tcW w:type="dxa" w:w="360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Nombrar y depositar</w:t>
            </w:r>
          </w:p>
        </w:tc>
        <w:tc>
          <w:tcPr>
            <w:tcW w:type="dxa" w:w="4080"/>
            <w:tcBorders>
              <w:top w:val="single" w:sz="4" w:space="0" w:color="D8D8D8"/>
              <w:start w:val="single" w:sz="4" w:space="0" w:color="D8D8D8"/>
              <w:bottom w:val="single" w:sz="4" w:space="0" w:color="D8D8D8"/>
              <w:end w:val="single" w:sz="4" w:space="0" w:color="D8D8D8"/>
              <w:insideH w:val="single" w:sz="4" w:space="0" w:color="D8D8D8"/>
              <w:insideV w:val="single" w:sz="4" w:space="0" w:color="D8D8D8"/>
            </w:tcBorders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5"/>
              </w:rPr>
              <w:t>Versión citable</w:t>
            </w:r>
          </w:p>
        </w:tc>
      </w:tr>
    </w:tbl>
    <w:p>
      <w:pPr>
        <w:spacing w:after="0"/>
      </w:pPr>
    </w:p>
    <w:p>
      <w:pPr>
        <w:pStyle w:val="Heading2"/>
      </w:pPr>
      <w:r>
        <w:t>Cinco preguntas para leer cualquier análisis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¿Qué archivo entra?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¿Qué regla elimina o transforma filas?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¿Qué variable responde la pregunta?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¿Qué estimación y qué incertidumbre salen?</w:t>
      </w:r>
    </w:p>
    <w:p>
      <w:pPr>
        <w:pStyle w:val="ListBullet"/>
      </w:pPr>
      <w:r>
        <w:rPr>
          <w:rFonts w:ascii="Arial" w:hAnsi="Arial"/>
          <w:color w:val="222222"/>
          <w:sz w:val="18"/>
        </w:rPr>
        <w:t>¿Qué afirmación sigue prohibida?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C7"/>
            <w:tcBorders>
              <w:top w:val="single" w:sz="2" w:space="0" w:color="FFF7C7"/>
              <w:start w:val="single" w:sz="2" w:space="0" w:color="FFF7C7"/>
              <w:bottom w:val="single" w:sz="2" w:space="0" w:color="FFF7C7"/>
              <w:end w:val="single" w:sz="2" w:space="0" w:color="FFF7C7"/>
              <w:insideH w:val="single" w:sz="2" w:space="0" w:color="FFF7C7"/>
              <w:insideV w:val="single" w:sz="2" w:space="0" w:color="FFF7C7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3B70"/>
                <w:sz w:val="16"/>
              </w:rPr>
              <w:t xml:space="preserve">CRITERIO  </w:t>
            </w:r>
            <w:r>
              <w:rPr>
                <w:rFonts w:ascii="Arial" w:hAnsi="Arial"/>
                <w:b/>
                <w:color w:val="222222"/>
                <w:sz w:val="18"/>
              </w:rPr>
              <w:t>Una herramienta entra en su caja cuando deja un objeto que otra persona puede inspeccionar.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0058A3"/>
          <w:sz w:val="16"/>
        </w:rPr>
        <w:t>FUENTES · CONSULTA 30.08.2026</w:t>
      </w:r>
    </w:p>
    <w:p>
      <w:pPr>
        <w:pStyle w:val="Heading1"/>
        <w:pBdr>
          <w:bottom w:val="single" w:sz="18" w:space="4" w:color="FBD914"/>
        </w:pBdr>
      </w:pPr>
      <w:r>
        <w:rPr>
          <w:rFonts w:ascii="Arial" w:hAnsi="Arial"/>
          <w:b/>
          <w:color w:val="0058A3"/>
          <w:sz w:val="34"/>
        </w:rPr>
        <w:t>Literatura y documentación primaria</w:t>
      </w:r>
    </w:p>
    <w:p>
      <w:pPr>
        <w:pStyle w:val="ListBullet"/>
        <w:spacing w:after="40"/>
      </w:pPr>
      <w:hyperlink r:id="rId11">
        <w:r>
          <w:rPr>
            <w:rStyle w:val="Hyperlink"/>
            <w:color w:val="0058A3"/>
            <w:sz w:val="16"/>
          </w:rPr>
          <w:t>Reglamento (UE) 2016/679 (RGPD)</w:t>
        </w:r>
      </w:hyperlink>
    </w:p>
    <w:p>
      <w:pPr>
        <w:pStyle w:val="ListBullet"/>
        <w:spacing w:after="40"/>
      </w:pPr>
      <w:hyperlink r:id="rId12">
        <w:r>
          <w:rPr>
            <w:rStyle w:val="Hyperlink"/>
            <w:color w:val="0058A3"/>
            <w:sz w:val="16"/>
          </w:rPr>
          <w:t>WP29 (2014), Opinion 05/2014 on Anonymisation Techniques</w:t>
        </w:r>
      </w:hyperlink>
    </w:p>
    <w:p>
      <w:pPr>
        <w:pStyle w:val="ListBullet"/>
        <w:spacing w:after="40"/>
      </w:pPr>
      <w:hyperlink r:id="rId13">
        <w:r>
          <w:rPr>
            <w:rStyle w:val="Hyperlink"/>
            <w:color w:val="0058A3"/>
            <w:sz w:val="16"/>
          </w:rPr>
          <w:t>Woods et al. (2013), Fast Lemons and Sour Boulders</w:t>
        </w:r>
      </w:hyperlink>
    </w:p>
    <w:p>
      <w:pPr>
        <w:pStyle w:val="ListBullet"/>
        <w:spacing w:after="40"/>
      </w:pPr>
      <w:hyperlink r:id="rId14">
        <w:r>
          <w:rPr>
            <w:rStyle w:val="Hyperlink"/>
            <w:color w:val="0058A3"/>
            <w:sz w:val="16"/>
          </w:rPr>
          <w:t>Mehta, Starmer y Sugden (1994), The Nature of Salience</w:t>
        </w:r>
      </w:hyperlink>
    </w:p>
    <w:p>
      <w:pPr>
        <w:pStyle w:val="ListBullet"/>
        <w:spacing w:after="40"/>
      </w:pPr>
      <w:hyperlink r:id="rId15">
        <w:r>
          <w:rPr>
            <w:rStyle w:val="Hyperlink"/>
            <w:color w:val="0058A3"/>
            <w:sz w:val="16"/>
          </w:rPr>
          <w:t>Shinar et al. (2003), Traffic Sign Symbol Comprehension</w:t>
        </w:r>
      </w:hyperlink>
    </w:p>
    <w:p>
      <w:pPr>
        <w:pStyle w:val="ListBullet"/>
        <w:spacing w:after="40"/>
      </w:pPr>
      <w:hyperlink r:id="rId16">
        <w:r>
          <w:rPr>
            <w:rStyle w:val="Hyperlink"/>
            <w:color w:val="0058A3"/>
            <w:sz w:val="16"/>
          </w:rPr>
          <w:t>Spence (2023), Visual Shape–Taste Crossmodal Correspondences</w:t>
        </w:r>
      </w:hyperlink>
    </w:p>
    <w:p>
      <w:pPr>
        <w:pStyle w:val="ListBullet"/>
        <w:spacing w:after="40"/>
      </w:pPr>
      <w:hyperlink r:id="rId17">
        <w:r>
          <w:rPr>
            <w:rStyle w:val="Hyperlink"/>
            <w:color w:val="0058A3"/>
            <w:sz w:val="16"/>
          </w:rPr>
          <w:t>Wilkinson et al. (2016), FAIR Guiding Principles</w:t>
        </w:r>
      </w:hyperlink>
    </w:p>
    <w:p>
      <w:pPr>
        <w:pStyle w:val="ListBullet"/>
        <w:spacing w:after="40"/>
      </w:pPr>
      <w:hyperlink r:id="rId18">
        <w:r>
          <w:rPr>
            <w:rStyle w:val="Hyperlink"/>
            <w:color w:val="0058A3"/>
            <w:sz w:val="16"/>
          </w:rPr>
          <w:t>Elicit Help · Columns</w:t>
        </w:r>
      </w:hyperlink>
    </w:p>
    <w:p>
      <w:pPr>
        <w:pStyle w:val="ListBullet"/>
        <w:spacing w:after="40"/>
      </w:pPr>
      <w:hyperlink r:id="rId19">
        <w:r>
          <w:rPr>
            <w:rStyle w:val="Hyperlink"/>
            <w:color w:val="0058A3"/>
            <w:sz w:val="16"/>
          </w:rPr>
          <w:t>ResearchRabbit · Refs y Cited by</w:t>
        </w:r>
      </w:hyperlink>
    </w:p>
    <w:p>
      <w:pPr>
        <w:pStyle w:val="ListBullet"/>
        <w:spacing w:after="40"/>
      </w:pPr>
      <w:hyperlink r:id="rId20">
        <w:r>
          <w:rPr>
            <w:rStyle w:val="Hyperlink"/>
            <w:color w:val="0058A3"/>
            <w:sz w:val="16"/>
          </w:rPr>
          <w:t>OSF Support · Registrations &amp; Preregistrations</w:t>
        </w:r>
      </w:hyperlink>
    </w:p>
    <w:p>
      <w:pPr>
        <w:pStyle w:val="ListBullet"/>
        <w:spacing w:after="40"/>
      </w:pPr>
      <w:hyperlink r:id="rId21">
        <w:r>
          <w:rPr>
            <w:rStyle w:val="Hyperlink"/>
            <w:color w:val="0058A3"/>
            <w:sz w:val="16"/>
          </w:rPr>
          <w:t>Git · Recording Changes</w:t>
        </w:r>
      </w:hyperlink>
    </w:p>
    <w:p>
      <w:pPr>
        <w:pStyle w:val="ListBullet"/>
        <w:spacing w:after="40"/>
      </w:pPr>
      <w:hyperlink r:id="rId22">
        <w:r>
          <w:rPr>
            <w:rStyle w:val="Hyperlink"/>
            <w:color w:val="0058A3"/>
            <w:sz w:val="16"/>
          </w:rPr>
          <w:t>Streamlit Documentation</w:t>
        </w:r>
      </w:hyperlink>
    </w:p>
    <w:p>
      <w:pPr>
        <w:pStyle w:val="ListBullet"/>
        <w:spacing w:after="40"/>
      </w:pPr>
      <w:hyperlink r:id="rId23">
        <w:r>
          <w:rPr>
            <w:rStyle w:val="Hyperlink"/>
            <w:color w:val="0058A3"/>
            <w:sz w:val="16"/>
          </w:rPr>
          <w:t>Prolific · Payment model</w:t>
        </w:r>
      </w:hyperlink>
    </w:p>
    <w:p>
      <w:pPr>
        <w:pStyle w:val="ListBullet"/>
        <w:spacing w:after="40"/>
      </w:pPr>
      <w:hyperlink r:id="rId24">
        <w:r>
          <w:rPr>
            <w:rStyle w:val="Hyperlink"/>
            <w:color w:val="0058A3"/>
            <w:sz w:val="16"/>
          </w:rPr>
          <w:t>pandas · read_csv</w:t>
        </w:r>
      </w:hyperlink>
    </w:p>
    <w:p>
      <w:pPr>
        <w:pStyle w:val="ListBullet"/>
        <w:spacing w:after="40"/>
      </w:pPr>
      <w:hyperlink r:id="rId25">
        <w:r>
          <w:rPr>
            <w:rStyle w:val="Hyperlink"/>
            <w:color w:val="0058A3"/>
            <w:sz w:val="16"/>
          </w:rPr>
          <w:t>SciPy · ttest_ind</w:t>
        </w:r>
      </w:hyperlink>
    </w:p>
    <w:p>
      <w:pPr>
        <w:pStyle w:val="ListBullet"/>
        <w:spacing w:after="40"/>
      </w:pPr>
      <w:hyperlink r:id="rId26">
        <w:r>
          <w:rPr>
            <w:rStyle w:val="Hyperlink"/>
            <w:color w:val="0058A3"/>
            <w:sz w:val="16"/>
          </w:rPr>
          <w:t>GitHub Docs · Managing releases</w:t>
        </w:r>
      </w:hyperlink>
    </w:p>
    <w:p>
      <w:pPr>
        <w:pStyle w:val="ListBullet"/>
        <w:spacing w:after="40"/>
      </w:pPr>
      <w:hyperlink r:id="rId27">
        <w:r>
          <w:rPr>
            <w:rStyle w:val="Hyperlink"/>
            <w:color w:val="0058A3"/>
            <w:sz w:val="16"/>
          </w:rPr>
          <w:t>Zenodo Help · Deposit y Sandbox</w:t>
        </w:r>
      </w:hyperlink>
    </w:p>
    <w:p>
      <w:pPr>
        <w:spacing w:after="0"/>
      </w:pPr>
      <w:r>
        <w:rPr>
          <w:rFonts w:ascii="Arial" w:hAnsi="Arial"/>
          <w:b/>
          <w:i w:val="0"/>
          <w:color w:val="003B70"/>
          <w:sz w:val="18"/>
        </w:rPr>
        <w:t>Parece indicar que el caso funciona como demostración metodológica: su valor está en la arquitectura completa, no en la fuerza de una metáfora vial.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13" w:bottom="879" w:left="913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26262"/>
        <w:sz w:val="15"/>
      </w:rPr>
      <w:t xml:space="preserve">SIMULACIÓN DOCENTE   ·   02.09.2026   ·   </w:t>
    </w:r>
    <w:r>
      <w:rPr>
        <w:rFonts w:ascii="Arial" w:hAnsi="Arial"/>
        <w:color w:val="626262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/>
      <w:spacing w:after="20"/>
      <w:jc w:val="left"/>
      <w:pBdr>
        <w:bottom w:val="single" w:sz="10" w:space="4" w:color="0058A3"/>
      </w:pBdr>
    </w:pPr>
    <w:r>
      <w:rPr>
        <w:rFonts w:ascii="Arial" w:hAnsi="Arial"/>
        <w:b/>
        <w:color w:val="0058A3"/>
        <w:sz w:val="15"/>
      </w:rPr>
      <w:t>MANUAL DEL ALUMNO · CIENCIA ABIERTA</w:t>
    </w:r>
    <w:r>
      <w:rPr>
        <w:rFonts w:ascii="Arial" w:hAnsi="Arial"/>
        <w:color w:val="626262"/>
        <w:sz w:val="15"/>
      </w:rPr>
      <w:t xml:space="preserve">   ·   </w:t>
    </w:r>
    <w:r>
      <w:rPr>
        <w:rFonts w:ascii="Arial" w:hAnsi="Arial"/>
        <w:color w:val="626262"/>
        <w:sz w:val="15"/>
      </w:rPr>
      <w:t>LECTURA POSTERIOR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58A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3B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3B7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262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69" w:lineRule="auto"/>
      <w:ind w:left="540" w:hanging="271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69" w:lineRule="auto"/>
      <w:ind w:left="540" w:hanging="271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ur-lex.europa.eu/eli/reg/2016/679/oj" TargetMode="External"/><Relationship Id="rId12" Type="http://schemas.openxmlformats.org/officeDocument/2006/relationships/hyperlink" Target="https://ec.europa.eu/justice/article-29/documentation/opinion-recommendation/files/2014/wp216_en.pdf" TargetMode="External"/><Relationship Id="rId13" Type="http://schemas.openxmlformats.org/officeDocument/2006/relationships/hyperlink" Target="https://doi.org/10.1068/i0586" TargetMode="External"/><Relationship Id="rId14" Type="http://schemas.openxmlformats.org/officeDocument/2006/relationships/hyperlink" Target="https://www.jstor.org/stable/2118074" TargetMode="External"/><Relationship Id="rId15" Type="http://schemas.openxmlformats.org/officeDocument/2006/relationships/hyperlink" Target="https://doi.org/10.1080/0014013032000121615" TargetMode="External"/><Relationship Id="rId16" Type="http://schemas.openxmlformats.org/officeDocument/2006/relationships/hyperlink" Target="https://doi.org/10.1163/22134808-bja10096" TargetMode="External"/><Relationship Id="rId17" Type="http://schemas.openxmlformats.org/officeDocument/2006/relationships/hyperlink" Target="https://doi.org/10.1038/sdata.2016.18" TargetMode="External"/><Relationship Id="rId18" Type="http://schemas.openxmlformats.org/officeDocument/2006/relationships/hyperlink" Target="https://support.elicit.com/en/collections/19572617-columns" TargetMode="External"/><Relationship Id="rId19" Type="http://schemas.openxmlformats.org/officeDocument/2006/relationships/hyperlink" Target="https://learn.researchrabbit.ai/en/articles/12454564-how-do-i-see-citations-and-references-in-the-new-researchrabbit" TargetMode="External"/><Relationship Id="rId20" Type="http://schemas.openxmlformats.org/officeDocument/2006/relationships/hyperlink" Target="https://help.osf.io/article/330-welcome-to-registrations" TargetMode="External"/><Relationship Id="rId21" Type="http://schemas.openxmlformats.org/officeDocument/2006/relationships/hyperlink" Target="https://git-scm.com/book/en/v2/Git-Basics-Recording-Changes-to-the-Repository" TargetMode="External"/><Relationship Id="rId22" Type="http://schemas.openxmlformats.org/officeDocument/2006/relationships/hyperlink" Target="https://docs.streamlit.io/" TargetMode="External"/><Relationship Id="rId23" Type="http://schemas.openxmlformats.org/officeDocument/2006/relationships/hyperlink" Target="https://researcher-help.prolific.com/en/articles/445230-prolific-s-payment-model" TargetMode="External"/><Relationship Id="rId24" Type="http://schemas.openxmlformats.org/officeDocument/2006/relationships/hyperlink" Target="https://pandas.pydata.org/docs/reference/api/pandas.read_csv.html" TargetMode="External"/><Relationship Id="rId25" Type="http://schemas.openxmlformats.org/officeDocument/2006/relationships/hyperlink" Target="https://docs.scipy.org/doc/scipy/reference/generated/scipy.stats.ttest_ind.html" TargetMode="External"/><Relationship Id="rId26" Type="http://schemas.openxmlformats.org/officeDocument/2006/relationships/hyperlink" Target="https://docs.github.com/en/repositories/releasing-projects-on-github/managing-releases-in-a-repository" TargetMode="External"/><Relationship Id="rId27" Type="http://schemas.openxmlformats.org/officeDocument/2006/relationships/hyperlink" Target="https://help.zenodo.org/docs/depos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alumno · Ciencia abierta</dc:title>
  <dc:subject>Arquitectura de Datos en Python y Ciencia Abierta</dc:subject>
  <dc:creator>Antonio Alfonso</dc:creator>
  <cp:keywords>ciencia abierta, Python, FAIR, prerregistro, curso, datos sintéticos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