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99A2" w14:textId="43AFEB3B" w:rsidR="0071105F" w:rsidRDefault="0071105F" w:rsidP="0071105F">
      <w:pPr>
        <w:pStyle w:val="Title"/>
      </w:pPr>
      <w:r>
        <w:t>Buyers Persona</w:t>
      </w:r>
    </w:p>
    <w:p w14:paraId="061C30C0" w14:textId="77777777" w:rsidR="0071105F" w:rsidRDefault="0071105F"/>
    <w:p w14:paraId="0A4D2997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Before crafting visuals or sales collateral, we need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on who actually signs, influences, and justifies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the adoption of HyperStack inside each target organization.</w:t>
      </w:r>
    </w:p>
    <w:p w14:paraId="4D413E33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Let’s break this down by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type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motivation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— because DR tooling crosses both </w:t>
      </w:r>
      <w:r w:rsidRPr="007110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technical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1105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strategic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decision chains.</w:t>
      </w:r>
    </w:p>
    <w:p w14:paraId="5AFC1B25" w14:textId="77777777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pict w14:anchorId="7304A6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AA3482" w14:textId="77777777" w:rsidR="0071105F" w:rsidRPr="0071105F" w:rsidRDefault="0071105F" w:rsidP="0071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Managed Service Providers (MSPs)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1721"/>
        <w:gridCol w:w="5174"/>
      </w:tblGrid>
      <w:tr w:rsidR="0071105F" w:rsidRPr="0071105F" w14:paraId="7B347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D1F70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C9BFF13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95719E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Motivation</w:t>
            </w:r>
          </w:p>
        </w:tc>
      </w:tr>
      <w:tr w:rsidR="0071105F" w:rsidRPr="0071105F" w14:paraId="3DF1E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E441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CTO / Head of Cloud Operations</w:t>
            </w:r>
          </w:p>
        </w:tc>
        <w:tc>
          <w:tcPr>
            <w:tcW w:w="0" w:type="auto"/>
            <w:vAlign w:val="center"/>
            <w:hideMark/>
          </w:tcPr>
          <w:p w14:paraId="63D94DA1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 Maker</w:t>
            </w:r>
          </w:p>
        </w:tc>
        <w:tc>
          <w:tcPr>
            <w:tcW w:w="0" w:type="auto"/>
            <w:vAlign w:val="center"/>
            <w:hideMark/>
          </w:tcPr>
          <w:p w14:paraId="22840649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Wants to expand managed offerings (DRaaS) without increasing staff or cost.</w:t>
            </w:r>
          </w:p>
        </w:tc>
      </w:tr>
      <w:tr w:rsidR="0071105F" w:rsidRPr="0071105F" w14:paraId="7C5E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442B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Lead DevOps / Cloud Architect</w:t>
            </w:r>
          </w:p>
        </w:tc>
        <w:tc>
          <w:tcPr>
            <w:tcW w:w="0" w:type="auto"/>
            <w:vAlign w:val="center"/>
            <w:hideMark/>
          </w:tcPr>
          <w:p w14:paraId="5981DF8A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Influencer</w:t>
            </w:r>
          </w:p>
        </w:tc>
        <w:tc>
          <w:tcPr>
            <w:tcW w:w="0" w:type="auto"/>
            <w:vAlign w:val="center"/>
            <w:hideMark/>
          </w:tcPr>
          <w:p w14:paraId="66699AA1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Wants automation, less scripting, and auditable logs to prove service reliability.</w:t>
            </w:r>
          </w:p>
        </w:tc>
      </w:tr>
      <w:tr w:rsidR="0071105F" w:rsidRPr="0071105F" w14:paraId="78DB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F287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Delivery Manager</w:t>
            </w:r>
          </w:p>
        </w:tc>
        <w:tc>
          <w:tcPr>
            <w:tcW w:w="0" w:type="auto"/>
            <w:vAlign w:val="center"/>
            <w:hideMark/>
          </w:tcPr>
          <w:p w14:paraId="3357F4D8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Buyer</w:t>
            </w:r>
          </w:p>
        </w:tc>
        <w:tc>
          <w:tcPr>
            <w:tcW w:w="0" w:type="auto"/>
            <w:vAlign w:val="center"/>
            <w:hideMark/>
          </w:tcPr>
          <w:p w14:paraId="5058C71A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proof of SLA compliance, easy client reporting, and minimal maintenance risk.</w:t>
            </w:r>
          </w:p>
        </w:tc>
      </w:tr>
    </w:tbl>
    <w:p w14:paraId="0859CAD9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Trigger: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A client demands verifiable DR or the MSP wants to launch DR-as-a-Service to differentiate.</w:t>
      </w:r>
    </w:p>
    <w:p w14:paraId="77C797C2" w14:textId="77777777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pict w14:anchorId="0B503D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15DEC5" w14:textId="77777777" w:rsidR="0071105F" w:rsidRPr="0071105F" w:rsidRDefault="0071105F" w:rsidP="0071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Cloud-Native Mid-Market Companies (SaaS / FinTech / HealthTech)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851"/>
        <w:gridCol w:w="4537"/>
      </w:tblGrid>
      <w:tr w:rsidR="0071105F" w:rsidRPr="0071105F" w14:paraId="2994F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F79E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109B5041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6277A6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Motivation</w:t>
            </w:r>
          </w:p>
        </w:tc>
      </w:tr>
      <w:tr w:rsidR="0071105F" w:rsidRPr="0071105F" w14:paraId="5EA7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C4B5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CTO / VP of Engineering</w:t>
            </w:r>
          </w:p>
        </w:tc>
        <w:tc>
          <w:tcPr>
            <w:tcW w:w="0" w:type="auto"/>
            <w:vAlign w:val="center"/>
            <w:hideMark/>
          </w:tcPr>
          <w:p w14:paraId="1C593F81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 Maker</w:t>
            </w:r>
          </w:p>
        </w:tc>
        <w:tc>
          <w:tcPr>
            <w:tcW w:w="0" w:type="auto"/>
            <w:vAlign w:val="center"/>
            <w:hideMark/>
          </w:tcPr>
          <w:p w14:paraId="26E5F2FC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business continuity without hiring a full DevOps team.</w:t>
            </w:r>
          </w:p>
        </w:tc>
      </w:tr>
      <w:tr w:rsidR="0071105F" w:rsidRPr="0071105F" w14:paraId="1DEB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C007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 / SRE Lead</w:t>
            </w:r>
          </w:p>
        </w:tc>
        <w:tc>
          <w:tcPr>
            <w:tcW w:w="0" w:type="auto"/>
            <w:vAlign w:val="center"/>
            <w:hideMark/>
          </w:tcPr>
          <w:p w14:paraId="15A3C0FC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Influencer</w:t>
            </w:r>
          </w:p>
        </w:tc>
        <w:tc>
          <w:tcPr>
            <w:tcW w:w="0" w:type="auto"/>
            <w:vAlign w:val="center"/>
            <w:hideMark/>
          </w:tcPr>
          <w:p w14:paraId="462F415D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Seeks a single tool to automate and simulate recoveries.</w:t>
            </w:r>
          </w:p>
        </w:tc>
      </w:tr>
      <w:tr w:rsidR="0071105F" w:rsidRPr="0071105F" w14:paraId="76AE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437E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Officer / Risk Manager</w:t>
            </w:r>
          </w:p>
        </w:tc>
        <w:tc>
          <w:tcPr>
            <w:tcW w:w="0" w:type="auto"/>
            <w:vAlign w:val="center"/>
            <w:hideMark/>
          </w:tcPr>
          <w:p w14:paraId="012B3AB4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277BD84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recoverability evidence for SOC 2 / HIPAA audits.</w:t>
            </w:r>
          </w:p>
        </w:tc>
      </w:tr>
    </w:tbl>
    <w:p w14:paraId="1A71E8B0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Trigger: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Facing SOC 2 / ISO 27001 certification or a customer security questionnaire they can’t easily answer.</w:t>
      </w:r>
    </w:p>
    <w:p w14:paraId="1EF86E73" w14:textId="77777777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DF37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B1E255" w14:textId="77777777" w:rsidR="0071105F" w:rsidRPr="0071105F" w:rsidRDefault="0071105F" w:rsidP="0071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Enterprise Cloud Teams (Finance, Energy, Pharma, 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1763"/>
        <w:gridCol w:w="4415"/>
      </w:tblGrid>
      <w:tr w:rsidR="0071105F" w:rsidRPr="0071105F" w14:paraId="4DECD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4A554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E87682D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B445F5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Motivation</w:t>
            </w:r>
          </w:p>
        </w:tc>
      </w:tr>
      <w:tr w:rsidR="0071105F" w:rsidRPr="0071105F" w14:paraId="6ECC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BCD5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CIO / Head of IT Infrastructure</w:t>
            </w:r>
          </w:p>
        </w:tc>
        <w:tc>
          <w:tcPr>
            <w:tcW w:w="0" w:type="auto"/>
            <w:vAlign w:val="center"/>
            <w:hideMark/>
          </w:tcPr>
          <w:p w14:paraId="3112F592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 Maker</w:t>
            </w:r>
          </w:p>
        </w:tc>
        <w:tc>
          <w:tcPr>
            <w:tcW w:w="0" w:type="auto"/>
            <w:vAlign w:val="center"/>
            <w:hideMark/>
          </w:tcPr>
          <w:p w14:paraId="3F63B2BD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Wants proven business continuity and compliance automation.</w:t>
            </w:r>
          </w:p>
        </w:tc>
      </w:tr>
      <w:tr w:rsidR="0071105F" w:rsidRPr="0071105F" w14:paraId="0C22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B6E0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Governance Manager</w:t>
            </w:r>
          </w:p>
        </w:tc>
        <w:tc>
          <w:tcPr>
            <w:tcW w:w="0" w:type="auto"/>
            <w:vAlign w:val="center"/>
            <w:hideMark/>
          </w:tcPr>
          <w:p w14:paraId="51FC7655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D54753E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transparent auditability and automated compliance proof.</w:t>
            </w:r>
          </w:p>
        </w:tc>
      </w:tr>
      <w:tr w:rsidR="0071105F" w:rsidRPr="0071105F" w14:paraId="521E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EE94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Disaster Recovery Lead / Cloud Engineer</w:t>
            </w:r>
          </w:p>
        </w:tc>
        <w:tc>
          <w:tcPr>
            <w:tcW w:w="0" w:type="auto"/>
            <w:vAlign w:val="center"/>
            <w:hideMark/>
          </w:tcPr>
          <w:p w14:paraId="0EC1749E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Influencer</w:t>
            </w:r>
          </w:p>
        </w:tc>
        <w:tc>
          <w:tcPr>
            <w:tcW w:w="0" w:type="auto"/>
            <w:vAlign w:val="center"/>
            <w:hideMark/>
          </w:tcPr>
          <w:p w14:paraId="2EA38480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Wants less manual DR testing, integrated IAM/S3/EBS validation.</w:t>
            </w:r>
          </w:p>
        </w:tc>
      </w:tr>
      <w:tr w:rsidR="0071105F" w:rsidRPr="0071105F" w14:paraId="6693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2F4D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Auditor / Risk Officer</w:t>
            </w:r>
          </w:p>
        </w:tc>
        <w:tc>
          <w:tcPr>
            <w:tcW w:w="0" w:type="auto"/>
            <w:vAlign w:val="center"/>
            <w:hideMark/>
          </w:tcPr>
          <w:p w14:paraId="735042F5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925B4BA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Demands immutable evidence of recoverability.</w:t>
            </w:r>
          </w:p>
        </w:tc>
      </w:tr>
    </w:tbl>
    <w:p w14:paraId="36B94159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Trigger: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Internal audit pressure, new regulation, or multi-region migration requiring DR readiness certification.</w:t>
      </w:r>
    </w:p>
    <w:p w14:paraId="7C0CD329" w14:textId="77777777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pict w14:anchorId="460CE5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0DD850" w14:textId="77777777" w:rsidR="0071105F" w:rsidRPr="0071105F" w:rsidRDefault="0071105F" w:rsidP="0071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LegalTech &amp; Law Firms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688"/>
        <w:gridCol w:w="4631"/>
      </w:tblGrid>
      <w:tr w:rsidR="0071105F" w:rsidRPr="0071105F" w14:paraId="5BBF1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37AD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75D4ADAE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17D123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Motivation</w:t>
            </w:r>
          </w:p>
        </w:tc>
      </w:tr>
      <w:tr w:rsidR="0071105F" w:rsidRPr="0071105F" w14:paraId="16B1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BDD8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Managing Partner / COO</w:t>
            </w:r>
          </w:p>
        </w:tc>
        <w:tc>
          <w:tcPr>
            <w:tcW w:w="0" w:type="auto"/>
            <w:vAlign w:val="center"/>
            <w:hideMark/>
          </w:tcPr>
          <w:p w14:paraId="7F7CE99F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 Maker</w:t>
            </w:r>
          </w:p>
        </w:tc>
        <w:tc>
          <w:tcPr>
            <w:tcW w:w="0" w:type="auto"/>
            <w:vAlign w:val="center"/>
            <w:hideMark/>
          </w:tcPr>
          <w:p w14:paraId="761B7703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to ensure the firm's data and evidence remain recoverable after any failure.</w:t>
            </w:r>
          </w:p>
        </w:tc>
      </w:tr>
      <w:tr w:rsidR="0071105F" w:rsidRPr="0071105F" w14:paraId="000C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0099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 Director / System Administrator</w:t>
            </w:r>
          </w:p>
        </w:tc>
        <w:tc>
          <w:tcPr>
            <w:tcW w:w="0" w:type="auto"/>
            <w:vAlign w:val="center"/>
            <w:hideMark/>
          </w:tcPr>
          <w:p w14:paraId="7B55B4E9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Influencer</w:t>
            </w:r>
          </w:p>
        </w:tc>
        <w:tc>
          <w:tcPr>
            <w:tcW w:w="0" w:type="auto"/>
            <w:vAlign w:val="center"/>
            <w:hideMark/>
          </w:tcPr>
          <w:p w14:paraId="220A4BDA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backup automation without interfering with ongoing casework.</w:t>
            </w:r>
          </w:p>
        </w:tc>
      </w:tr>
      <w:tr w:rsidR="0071105F" w:rsidRPr="0071105F" w14:paraId="5BFE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FE80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Privacy Officer / Compliance Partner</w:t>
            </w:r>
          </w:p>
        </w:tc>
        <w:tc>
          <w:tcPr>
            <w:tcW w:w="0" w:type="auto"/>
            <w:vAlign w:val="center"/>
            <w:hideMark/>
          </w:tcPr>
          <w:p w14:paraId="212F2F9F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A42B3F5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immutable recovery logs to demonstrate data integrity and client trust.</w:t>
            </w:r>
          </w:p>
        </w:tc>
      </w:tr>
    </w:tbl>
    <w:p w14:paraId="506BE2B5" w14:textId="77777777" w:rsidR="0071105F" w:rsidRPr="0071105F" w:rsidRDefault="0071105F" w:rsidP="0071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05F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11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Buying Trigger:</w:t>
      </w:r>
      <w:r w:rsidRPr="0071105F">
        <w:rPr>
          <w:rFonts w:ascii="Times New Roman" w:eastAsia="Times New Roman" w:hAnsi="Times New Roman" w:cs="Times New Roman"/>
          <w:kern w:val="0"/>
          <w14:ligatures w14:val="none"/>
        </w:rPr>
        <w:t xml:space="preserve"> Client contract clauses demanding data continuity or cybersecurity certifications.</w:t>
      </w:r>
    </w:p>
    <w:p w14:paraId="55E50AE6" w14:textId="77777777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pict w14:anchorId="70BF95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E00EE4" w14:textId="77777777" w:rsidR="0071105F" w:rsidRPr="0071105F" w:rsidRDefault="0071105F" w:rsidP="00711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0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711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Cross-Segment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3065"/>
        <w:gridCol w:w="3869"/>
      </w:tblGrid>
      <w:tr w:rsidR="0071105F" w:rsidRPr="0071105F" w14:paraId="37CC6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82BE8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Cluster</w:t>
            </w:r>
          </w:p>
        </w:tc>
        <w:tc>
          <w:tcPr>
            <w:tcW w:w="0" w:type="auto"/>
            <w:vAlign w:val="center"/>
            <w:hideMark/>
          </w:tcPr>
          <w:p w14:paraId="42A9060C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Titles</w:t>
            </w:r>
          </w:p>
        </w:tc>
        <w:tc>
          <w:tcPr>
            <w:tcW w:w="0" w:type="auto"/>
            <w:vAlign w:val="center"/>
            <w:hideMark/>
          </w:tcPr>
          <w:p w14:paraId="6959DEFC" w14:textId="77777777" w:rsidR="0071105F" w:rsidRPr="0071105F" w:rsidRDefault="0071105F" w:rsidP="00711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They Care About</w:t>
            </w:r>
          </w:p>
        </w:tc>
      </w:tr>
      <w:tr w:rsidR="0071105F" w:rsidRPr="0071105F" w14:paraId="448A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602C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Buyers</w:t>
            </w:r>
          </w:p>
        </w:tc>
        <w:tc>
          <w:tcPr>
            <w:tcW w:w="0" w:type="auto"/>
            <w:vAlign w:val="center"/>
            <w:hideMark/>
          </w:tcPr>
          <w:p w14:paraId="37AC55CC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CIO, CTO, Managing Partner</w:t>
            </w:r>
          </w:p>
        </w:tc>
        <w:tc>
          <w:tcPr>
            <w:tcW w:w="0" w:type="auto"/>
            <w:vAlign w:val="center"/>
            <w:hideMark/>
          </w:tcPr>
          <w:p w14:paraId="69643678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Cost, reliability, compliance, brand reputation.</w:t>
            </w:r>
          </w:p>
        </w:tc>
      </w:tr>
      <w:tr w:rsidR="0071105F" w:rsidRPr="0071105F" w14:paraId="400D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4779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Technical Influencers</w:t>
            </w:r>
          </w:p>
        </w:tc>
        <w:tc>
          <w:tcPr>
            <w:tcW w:w="0" w:type="auto"/>
            <w:vAlign w:val="center"/>
            <w:hideMark/>
          </w:tcPr>
          <w:p w14:paraId="341B9784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Lead, SRE, Cloud Architect</w:t>
            </w:r>
          </w:p>
        </w:tc>
        <w:tc>
          <w:tcPr>
            <w:tcW w:w="0" w:type="auto"/>
            <w:vAlign w:val="center"/>
            <w:hideMark/>
          </w:tcPr>
          <w:p w14:paraId="21908363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Automation, simplicity, integration.</w:t>
            </w:r>
          </w:p>
        </w:tc>
      </w:tr>
      <w:tr w:rsidR="0071105F" w:rsidRPr="0071105F" w14:paraId="4BE5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CDA3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Stakeholders</w:t>
            </w:r>
          </w:p>
        </w:tc>
        <w:tc>
          <w:tcPr>
            <w:tcW w:w="0" w:type="auto"/>
            <w:vAlign w:val="center"/>
            <w:hideMark/>
          </w:tcPr>
          <w:p w14:paraId="610AD568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Officer, DPO, Auditor</w:t>
            </w:r>
          </w:p>
        </w:tc>
        <w:tc>
          <w:tcPr>
            <w:tcW w:w="0" w:type="auto"/>
            <w:vAlign w:val="center"/>
            <w:hideMark/>
          </w:tcPr>
          <w:p w14:paraId="77A9E5E6" w14:textId="77777777" w:rsidR="0071105F" w:rsidRPr="0071105F" w:rsidRDefault="0071105F" w:rsidP="00711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1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Auditability, evidence, reporting.</w:t>
            </w:r>
          </w:p>
        </w:tc>
      </w:tr>
    </w:tbl>
    <w:p w14:paraId="0D0D037A" w14:textId="5BA0D484" w:rsidR="0071105F" w:rsidRPr="0071105F" w:rsidRDefault="00AD28A9" w:rsidP="00711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8A9">
        <w:rPr>
          <w:rFonts w:ascii="Times New Roman" w:eastAsia="Times New Roman" w:hAnsi="Times New Roman" w:cs="Times New Roman"/>
          <w:noProof/>
          <w:kern w:val="0"/>
        </w:rPr>
        <w:pict w14:anchorId="050B38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71105F" w:rsidRPr="007110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5F"/>
    <w:rsid w:val="003B4C4B"/>
    <w:rsid w:val="0071105F"/>
    <w:rsid w:val="00AD28A9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26B1"/>
  <w15:chartTrackingRefBased/>
  <w15:docId w15:val="{FBF1EB7F-0973-9C47-8446-291EE1E2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105F"/>
    <w:rPr>
      <w:b/>
      <w:bCs/>
    </w:rPr>
  </w:style>
  <w:style w:type="character" w:styleId="Emphasis">
    <w:name w:val="Emphasis"/>
    <w:basedOn w:val="DefaultParagraphFont"/>
    <w:uiPriority w:val="20"/>
    <w:qFormat/>
    <w:rsid w:val="007110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2025-11-07T20:35:00Z</dcterms:created>
  <dcterms:modified xsi:type="dcterms:W3CDTF">2025-11-09T11:59:00Z</dcterms:modified>
</cp:coreProperties>
</file>