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sz w:val="28"/>
        </w:rPr>
        <w:t>Практическая работа. Раздел 1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sz w:val="26"/>
        </w:rPr>
        <w:t>Тема: «Введение. Охрана труда. Анализ предметной области»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Цель: Ознакомиться с требованиями охраны труда при работе на ПК, провести анализ предметной области на основе документов заказчика, выделить сущности и связи, сформировать аналитическую записку как основу для последующего проектирования ИС.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Вариант 11: Цех корпусной мебели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1.1. Описание предметной области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Цех корпусной мебели — производственное предприятие, изготавливающее корпусную мебель (шкафы-купе, комоды, тумбы, кухонные гарнитуры, стеллажи, столы) по заказам покупателей.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Каждое изделие (продукция) имеет спецификацию: перечень материалов (ЛДСП, МДФ, кромка, фурнитура) с нормами расхода и перечень технологических операций (раскрой, кромкование, присадка, сборка и др.) в нормо-часах.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Основные бизнес-процессы предметной области: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Бизнес-процесс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Описание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Оформление заказа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Клиент оформляет заказ на изделия; фиксируются позиции и количество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Потребность в материалах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На основе спецификации рассчитывается потребность в материалах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Расчёт стоимости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Полная стоимость = Σ(цена × норма × количество) по материалам и операциям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Учёт контрагентов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Ведение справочника заказчиков (покупатели и поставщики)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Учёт скидок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Скидка по заказу, расчёт процента скидки от суммы заказа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1.2. Исходные документы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Документ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Заказ покупателя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Заголовок заказа и позиции (изделие, количество)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Спецификация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Нормы материалов и операций на единицу изделия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Цены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Прайс материалов и технологических операций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Производство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Справочник изделий (код, наименование, ед. изм.)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Заказчики.json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Исходный справочник контрагентов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1.3. Сущности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Сущность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Ключевые атрибуты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(Клиент)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Code, Name, INN, Address, Phone, IsBuyer, IsSalesman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Product (Изделие)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Code, Name, Unit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Material (Материал)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Name, Unit, Price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Operation (Операция)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Name, Unit, Price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Specification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Id, ProductId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SpecMaterial / SpecOperation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SpecId, MaterialId/OperationId, Norm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/ OrderDetail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OrderId, CustomerId, ProductId, Quantity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User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Login, PasswordHash, Salt, Role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CustomerDiscount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CustomerId, OrderId, DiscountAmount</w:t>
            </w:r>
          </w:p>
        </w:tc>
      </w:tr>
    </w:tbl>
    <w:p/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1.4. Охрана труда при работе на ПК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Соблюдение режима труда и отдыха (перерывы каждые 45–60 мин).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Правильная организация рабочего места (освещение, высота стола и кресла).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Заземление оборудования, исправность электропроводки.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Соблюдение правил пожарной безопасности в учебном кабинете.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Вывод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Анализ предметной области цеха корпусной мебели позволил выделить основные сущности и бизнес-процессы, которые лягут в основу ER-модели (Раздел 3) и реализации БД TsehMebeliDB, Web API и WinForms-клиента.</w:t>
      </w:r>
    </w:p>
    <w:p>
      <w:pPr>
        <w:spacing w:before="200" w:after="120"/>
      </w:pPr>
      <w:r>
        <w:rPr>
          <w:rFonts w:ascii="Times New Roman" w:hAnsi="Times New Roman" w:eastAsia="Times New Roman"/>
          <w:b/>
          <w:sz w:val="26"/>
        </w:rPr>
        <w:t>[СКРИНШОТ 1 — требуется вставить]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Что снять: Фрагмент исходных Excel/JSON из папки Приложения для УП06 / Variant_11_Цех_корпусной_мебели (заказ, спецификация, цены).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Где: Проводник Windows → папка варианта 11; открыть файлы в Excel.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Как: Сделайте снимок окна Excel с видимыми столбцами норм/цен; вставьте в отчёт под заголовком 1.2.</w:t>
      </w:r>
    </w:p>
    <w:p>
      <w:pPr>
        <w:spacing w:after="80"/>
        <w:ind w:firstLine="709"/>
      </w:pPr>
      <w:r>
        <w:rPr>
          <w:rFonts w:ascii="Times New Roman" w:hAnsi="Times New Roman" w:eastAsia="Times New Roman"/>
          <w:b w:val="0"/>
          <w:sz w:val="24"/>
        </w:rPr>
        <w:t>После вставки подпишите рисунок: «Рисунок N — …».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