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работа. Раздел 12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«Итоги учебной практики. Защита работы»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Подвести итоги выполнения УП по ПМ.06, сформулировать достигнутые результаты.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12.1. Выполненные работы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Анализ предметной области цеха корпусной мебели.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ТЗ и ER-модель → БД TsehMebeliDB на HOME-PC\SQLEXPRESS.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ASP.NET Core Web API + Swagger, cookie-auth, RBAC.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WinForms-клиент (.NET 10): CRUD, расчёт, анализ, навигация.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Исправление ошибок кодирования и настройка подключений.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Комплект отчётов по разделам 1–12.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12.2. Результаты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Сопровождаемая ИС «Цех корпусной мебели» обеспечивает учёт заказов корпусной мебели, расчёт стоимости по спецификации материалов и операций, анализ с учётом скидок и разграничение прав пользователей.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12.3. Возможные направления развития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Печать документов заказа / спецификации.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Складской учёт остатков материалов.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Публикация API за IIS / контейнер.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Заключение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Задачи учебной практики по ПМ.06 в рамках варианта 11 выполнены: спроектирована и реализована информационная система цеха корпусной мебели с сервером БД, Web API и клиентским приложением.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