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ГБПОУ «Миасский машиностроительный колледж»</w:t>
        <w:br/>
      </w:r>
      <w:r>
        <w:rPr>
          <w:rFonts w:ascii="Times New Roman" w:hAnsi="Times New Roman"/>
          <w:sz w:val="24"/>
        </w:rPr>
        <w:t>Специальность 09.02.07 «Информационные системы и программирование»</w:t>
        <w:br/>
      </w:r>
      <w:r>
        <w:rPr>
          <w:rFonts w:ascii="Times New Roman" w:hAnsi="Times New Roman"/>
          <w:sz w:val="24"/>
        </w:rPr>
        <w:t>ПМ.06 «Сопровождение информационных систем»</w:t>
        <w:br/>
      </w:r>
    </w:p>
    <w:p/>
    <w:p>
      <w:pPr>
        <w:jc w:val="center"/>
      </w:pPr>
      <w:r>
        <w:rPr>
          <w:rFonts w:ascii="Times New Roman" w:hAnsi="Times New Roman"/>
          <w:b/>
          <w:color w:val="00467F"/>
          <w:sz w:val="32"/>
        </w:rPr>
        <w:t>МЕТОДИЧЕСКАЯ ИНСТРУКЦИЯ</w:t>
        <w:br/>
      </w:r>
      <w:r>
        <w:rPr>
          <w:rFonts w:ascii="Times New Roman" w:hAnsi="Times New Roman"/>
          <w:sz w:val="28"/>
        </w:rPr>
        <w:t>по выполнению Раздела 12 учебной практики УП06</w:t>
        <w:br/>
      </w:r>
      <w:r>
        <w:rPr>
          <w:rFonts w:ascii="Times New Roman" w:hAnsi="Times New Roman"/>
          <w:sz w:val="28"/>
        </w:rPr>
        <w:t>«Оценка качества и надёжности системы. Дифференцированный зачёт»</w:t>
        <w:br/>
      </w:r>
    </w:p>
    <w:p/>
    <w:p>
      <w:pPr>
        <w:jc w:val="center"/>
      </w:pPr>
      <w:r>
        <w:rPr>
          <w:rFonts w:ascii="Times New Roman" w:hAnsi="Times New Roman"/>
          <w:i/>
          <w:sz w:val="24"/>
        </w:rPr>
        <w:t>Формируемые компетенции: ОК 03, ОК 09, ПК 6.4</w:t>
        <w:br/>
      </w:r>
      <w:r>
        <w:rPr>
          <w:rFonts w:ascii="Times New Roman" w:hAnsi="Times New Roman"/>
          <w:i/>
          <w:sz w:val="24"/>
        </w:rPr>
        <w:t>Стек технологий: MS SQL Server + C# (Visual Studio 2022)</w:t>
        <w:br/>
      </w:r>
      <w:r>
        <w:rPr>
          <w:rFonts w:ascii="Times New Roman" w:hAnsi="Times New Roman"/>
          <w:i/>
          <w:sz w:val="24"/>
        </w:rPr>
        <w:t>Объём раздела: 12 часов</w:t>
        <w:br/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467F"/>
        </w:rPr>
        <w:t xml:space="preserve"> Цель работы</w:t>
      </w:r>
    </w:p>
    <w:p>
      <w:r>
        <w:rPr>
          <w:rFonts w:ascii="Times New Roman" w:hAnsi="Times New Roman"/>
          <w:b w:val="0"/>
          <w:i w:val="0"/>
          <w:sz w:val="28"/>
        </w:rPr>
        <w:t>Провести проверку функционирования ИС, заполнить протоколы оценки, подготовить и защитить итоговый отчёт.</w:t>
      </w:r>
    </w:p>
    <w:p>
      <w:pPr>
        <w:pStyle w:val="Heading1"/>
      </w:pPr>
      <w:r>
        <w:rPr>
          <w:rFonts w:ascii="Times New Roman" w:hAnsi="Times New Roman"/>
          <w:color w:val="00467F"/>
        </w:rPr>
        <w:t>📊 ШАГ 1. Протоколы оценки качества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Критерий качества</w:t>
            </w:r>
          </w:p>
        </w:tc>
        <w:tc>
          <w:tcPr>
            <w:tcW w:type="dxa" w:w="2835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850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Оценка (1-5)</w:t>
            </w:r>
          </w:p>
        </w:tc>
        <w:tc>
          <w:tcPr>
            <w:tcW w:type="dxa" w:w="2268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1701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Функциональность</w:t>
            </w:r>
          </w:p>
        </w:tc>
        <w:tc>
          <w:tcPr>
            <w:tcW w:type="dxa" w:w="2835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Соответствие функций требованиям ТЗ</w:t>
            </w:r>
          </w:p>
        </w:tc>
        <w:tc>
          <w:tcPr>
            <w:tcW w:type="dxa" w:w="850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268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Надёжность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/>
                <w:sz w:val="20"/>
              </w:rPr>
              <w:t>Отсутствие сбоев при штатной работе</w:t>
            </w:r>
          </w:p>
        </w:tc>
        <w:tc>
          <w:tcPr>
            <w:tcW w:type="dxa" w:w="850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701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Безопасность</w:t>
            </w:r>
          </w:p>
        </w:tc>
        <w:tc>
          <w:tcPr>
            <w:tcW w:type="dxa" w:w="2835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Хеширование паролей, RBAC, параметризованные запросы</w:t>
            </w:r>
          </w:p>
        </w:tc>
        <w:tc>
          <w:tcPr>
            <w:tcW w:type="dxa" w:w="850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268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467F"/>
        </w:rPr>
        <w:t>📋 ШАГ 2. Процедура защиты отчёта</w:t>
      </w:r>
    </w:p>
    <w:p>
      <w:pPr>
        <w:pStyle w:val="ListNumber"/>
      </w:pPr>
      <w:r>
        <w:rPr>
          <w:rFonts w:ascii="Times New Roman" w:hAnsi="Times New Roman"/>
          <w:sz w:val="28"/>
        </w:rPr>
        <w:t>Подготовьте презентацию (5-7 слайдов): цель практики, результаты, готовность к ДЭ.</w:t>
      </w:r>
    </w:p>
    <w:p>
      <w:pPr>
        <w:pStyle w:val="ListNumber"/>
      </w:pPr>
      <w:r>
        <w:rPr>
          <w:rFonts w:ascii="Times New Roman" w:hAnsi="Times New Roman"/>
          <w:sz w:val="28"/>
        </w:rPr>
        <w:t>Подготовьте демонстрацию работающего приложения (live demo).</w:t>
      </w:r>
    </w:p>
    <w:p>
      <w:pPr>
        <w:pStyle w:val="ListNumber"/>
      </w:pPr>
      <w:r>
        <w:rPr>
          <w:rFonts w:ascii="Times New Roman" w:hAnsi="Times New Roman"/>
          <w:sz w:val="28"/>
        </w:rPr>
        <w:t>Сдайте отчёт руководителю практики не позднее 12.10.2026.</w:t>
      </w:r>
    </w:p>
    <w:p>
      <w:pPr>
        <w:pStyle w:val="Heading1"/>
      </w:pPr>
      <w:r>
        <w:rPr>
          <w:rFonts w:ascii="Times New Roman" w:hAnsi="Times New Roman"/>
          <w:color w:val="00467F"/>
        </w:rPr>
        <w:t>💡 Требования к сдаче Раздела 12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Итоговый отчёт по учебной практике (DOCX/PDF, не менее 40 страниц).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Заполненные протоколы оценки качества и надёжности.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Презентация для защиты (PPTX) и live demo.</w:t>
      </w:r>
    </w:p>
    <w:p/>
    <w:p>
      <w:pPr>
        <w:jc w:val="right"/>
      </w:pPr>
      <w:r>
        <w:rPr>
          <w:rFonts w:ascii="Times New Roman" w:hAnsi="Times New Roman"/>
          <w:sz w:val="24"/>
        </w:rPr>
        <w:t>Руководитель практики: _________________ / Ю.А. Мельникова /</w:t>
        <w:br/>
      </w:r>
      <w:r>
        <w:rPr>
          <w:rFonts w:ascii="Times New Roman" w:hAnsi="Times New Roman"/>
          <w:sz w:val="24"/>
        </w:rPr>
        <w:t>Студент: _________________________ / ________________ /</w:t>
        <w:br/>
      </w:r>
      <w:r>
        <w:rPr>
          <w:rFonts w:ascii="Times New Roman" w:hAnsi="Times New Roman"/>
          <w:sz w:val="24"/>
        </w:rPr>
        <w:t>«___» ____________ 2026 г.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