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2A4A"/>
          <w:sz w:val="48"/>
          <w:szCs w:val="48"/>
        </w:rPr>
        <w:t xml:space="preserve">TeraSwap</w:t>
      </w:r>
    </w:p>
    <w:p>
      <w:pPr>
        <w:spacing w:after="100"/>
        <w:jc w:val="center"/>
      </w:pPr>
      <w:r>
        <w:rPr>
          <w:rFonts w:ascii="Arial" w:cs="Arial" w:eastAsia="Arial" w:hAnsi="Arial"/>
          <w:color w:val="666666"/>
          <w:sz w:val="32"/>
          <w:szCs w:val="32"/>
        </w:rPr>
        <w:t xml:space="preserve">Infrastructure &amp; Deployment Guide</w:t>
      </w:r>
    </w:p>
    <w:p>
      <w:pPr>
        <w:spacing w:after="80"/>
        <w:jc w:val="center"/>
      </w:pPr>
      <w:r>
        <w:rPr>
          <w:rFonts w:ascii="Arial" w:cs="Arial" w:eastAsia="Arial" w:hAnsi="Arial"/>
          <w:color w:val="999999"/>
          <w:sz w:val="22"/>
          <w:szCs w:val="22"/>
        </w:rPr>
        <w:t xml:space="preserve">Pre-Mainnet Configuration — 4 Operational Prerequisites</w:t>
      </w:r>
    </w:p>
    <w:p>
      <w:pPr>
        <w:spacing w:after="400"/>
        <w:jc w:val="center"/>
      </w:pPr>
      <w:r>
        <w:rPr>
          <w:rFonts w:ascii="Arial" w:cs="Arial" w:eastAsia="Arial" w:hAnsi="Arial"/>
          <w:color w:val="AAAAAA"/>
          <w:sz w:val="18"/>
          <w:szCs w:val="18"/>
        </w:rPr>
        <w:t xml:space="preserve">Generated: 2026-03-06  |  Audit Version: v3 Final</w:t>
      </w:r>
    </w:p>
    <w:p>
      <w:pPr>
        <w:pStyle w:val="Heading1"/>
      </w:pPr>
      <w:r>
        <w:t xml:space="preserve">Executive Summary</w:t>
      </w:r>
    </w:p>
    <w:p>
      <w:pPr>
        <w:spacing w:after="120"/>
      </w:pPr>
      <w:r>
        <w:rPr>
          <w:rFonts w:ascii="Arial" w:cs="Arial" w:eastAsia="Arial" w:hAnsi="Arial"/>
        </w:rPr>
        <w:t xml:space="preserve">The TeraSwap v3 Security Audit confirmed </w:t>
      </w:r>
      <w:r>
        <w:rPr>
          <w:rFonts w:ascii="Arial" w:cs="Arial" w:eastAsia="Arial" w:hAnsi="Arial"/>
          <w:b/>
          <w:bCs/>
        </w:rPr>
        <w:t xml:space="preserve">29/29 findings addressed</w:t>
      </w:r>
      <w:r>
        <w:rPr>
          <w:rFonts w:ascii="Arial" w:cs="Arial" w:eastAsia="Arial" w:hAnsi="Arial"/>
        </w:rPr>
        <w:t xml:space="preserve"> (25 RESOLVED, 3 MITIGATED, 1 ACKNOWLEDGED). The verdict is </w:t>
      </w:r>
      <w:r>
        <w:rPr>
          <w:rFonts w:ascii="Arial" w:cs="Arial" w:eastAsia="Arial" w:hAnsi="Arial"/>
          <w:b/>
          <w:bCs/>
          <w:color w:val="28A745"/>
        </w:rPr>
        <w:t xml:space="preserve">READY FOR SEPOLIA/TESTNET DEPLOYMENT</w:t>
      </w:r>
      <w:r>
        <w:rPr>
          <w:rFonts w:ascii="Arial" w:cs="Arial" w:eastAsia="Arial" w:hAnsi="Arial"/>
        </w:rPr>
        <w:t xml:space="preserve">. Before mainnet with real funds, 4 operational/infrastructure prerequisites must be completed. This document provides the implementation guide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Finding</w:t>
            </w:r>
          </w:p>
        </w:tc>
        <w:tc>
          <w:tcPr>
            <w:tcW w:type="dxa" w:w="5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Prerequisite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val="false"/>
                <w:bCs w:val="false"/>
                <w:sz w:val="20"/>
                <w:szCs w:val="20"/>
              </w:rPr>
              <w:t xml:space="preserve">C-02/B-01</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val="false"/>
                <w:bCs w:val="false"/>
                <w:sz w:val="20"/>
                <w:szCs w:val="20"/>
              </w:rPr>
              <w:t xml:space="preserve">Executor Key → HSM/KMS (AWS KMS or HashiCorp Vault)</w:t>
            </w:r>
          </w:p>
        </w:tc>
        <w:tc>
          <w:tcPr>
            <w:tcW w:type="dxa" w:w="2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40" w:before="40"/>
            </w:pPr>
            <w:r>
              <w:rPr>
                <w:rFonts w:ascii="Arial" w:cs="Arial" w:eastAsia="Arial" w:hAnsi="Arial"/>
                <w:b/>
                <w:bCs/>
                <w:color w:val="28A745"/>
                <w:sz w:val="20"/>
                <w:szCs w:val="20"/>
              </w:rPr>
              <w:t xml:space="preserve">CONFIGURED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val="false"/>
                <w:bCs w:val="false"/>
                <w:sz w:val="20"/>
                <w:szCs w:val="20"/>
              </w:rPr>
              <w:t xml:space="preserve">B-02</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val="false"/>
                <w:bCs w:val="false"/>
                <w:sz w:val="20"/>
                <w:szCs w:val="20"/>
              </w:rPr>
              <w:t xml:space="preserve">Flashbots Protect RPC for MEV-resistant execution</w:t>
            </w:r>
          </w:p>
        </w:tc>
        <w:tc>
          <w:tcPr>
            <w:tcW w:type="dxa" w:w="2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40" w:before="40"/>
            </w:pPr>
            <w:r>
              <w:rPr>
                <w:rFonts w:ascii="Arial" w:cs="Arial" w:eastAsia="Arial" w:hAnsi="Arial"/>
                <w:b/>
                <w:bCs/>
                <w:color w:val="28A745"/>
                <w:sz w:val="20"/>
                <w:szCs w:val="20"/>
              </w:rPr>
              <w:t xml:space="preserve">CONFIGURED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val="false"/>
                <w:bCs w:val="false"/>
                <w:sz w:val="20"/>
                <w:szCs w:val="20"/>
              </w:rPr>
              <w:t xml:space="preserve">B-06</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val="false"/>
                <w:bCs w:val="false"/>
                <w:sz w:val="20"/>
                <w:szCs w:val="20"/>
              </w:rPr>
              <w:t xml:space="preserve">Supabase Service Role Key → Vercel Env Vars</w:t>
            </w:r>
          </w:p>
        </w:tc>
        <w:tc>
          <w:tcPr>
            <w:tcW w:type="dxa" w:w="20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40" w:before="40"/>
            </w:pPr>
            <w:r>
              <w:rPr>
                <w:rFonts w:ascii="Arial" w:cs="Arial" w:eastAsia="Arial" w:hAnsi="Arial"/>
                <w:b/>
                <w:bCs/>
                <w:color w:val="28A745"/>
                <w:sz w:val="20"/>
                <w:szCs w:val="20"/>
              </w:rPr>
              <w:t xml:space="preserve">CONFIGURED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val="false"/>
                <w:bCs w:val="false"/>
                <w:sz w:val="20"/>
                <w:szCs w:val="20"/>
              </w:rPr>
              <w:t xml:space="preserve">H-05</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val="false"/>
                <w:bCs w:val="false"/>
                <w:sz w:val="20"/>
                <w:szCs w:val="20"/>
              </w:rPr>
              <w:t xml:space="preserve">Contract v3: Hash-based nonce model for parallel orders</w:t>
            </w:r>
          </w:p>
        </w:tc>
        <w:tc>
          <w:tcPr>
            <w:tcW w:type="dxa" w:w="2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spacing w:after="40" w:before="40"/>
            </w:pPr>
            <w:r>
              <w:rPr>
                <w:rFonts w:ascii="Arial" w:cs="Arial" w:eastAsia="Arial" w:hAnsi="Arial"/>
                <w:b/>
                <w:bCs/>
                <w:color w:val="856404"/>
                <w:sz w:val="20"/>
                <w:szCs w:val="20"/>
              </w:rPr>
              <w:t xml:space="preserve">PLANNED</w:t>
            </w:r>
          </w:p>
        </w:tc>
      </w:tr>
    </w:tbl>
    <w:p>
      <w:r>
        <w:br w:type="page"/>
      </w:r>
    </w:p>
    <w:p>
      <w:pPr>
        <w:pStyle w:val="Heading1"/>
      </w:pPr>
      <w:r>
        <w:t xml:space="preserve">1. Executor Key → HSM/KMS (C-02/B-01)</w:t>
      </w:r>
    </w:p>
    <w:p>
      <w:pPr>
        <w:pStyle w:val="Heading2"/>
      </w:pPr>
      <w:r>
        <w:t xml:space="preserve">1.1 Problem</w:t>
      </w:r>
    </w:p>
    <w:p>
      <w:pPr>
        <w:spacing w:after="120"/>
      </w:pPr>
      <w:r>
        <w:t xml:space="preserve">The executor private key (EXECUTOR_PRIVATE_KEY) is stored in plaintext in .env.executor. This single key has unrestricted access to call executeOrder() on-chain. A server breach, supply chain attack, or insider threat exposes this key, enabling total fund drain of all pending orders.</w:t>
      </w:r>
    </w:p>
    <w:p>
      <w:pPr>
        <w:pStyle w:val="Heading2"/>
      </w:pPr>
      <w:r>
        <w:t xml:space="preserve">1.2 Solution: AWS KMS Integration</w:t>
      </w:r>
    </w:p>
    <w:p>
      <w:pPr>
        <w:spacing w:after="120"/>
      </w:pPr>
      <w:r>
        <w:t xml:space="preserve">A new </w:t>
      </w:r>
      <w:r>
        <w:rPr>
          <w:b/>
          <w:bCs/>
        </w:rPr>
        <w:t xml:space="preserve">kms-signer.js</w:t>
      </w:r>
      <w:r>
        <w:t xml:space="preserve"> module has been created that implements ethers.js AbstractSigner backed by AWS KMS. The private key never leaves the HSM — only ECDSA signatures are returned via the KMS Sign API.</w:t>
      </w:r>
    </w:p>
    <w:p>
      <w:pPr>
        <w:pStyle w:val="Heading3"/>
      </w:pPr>
      <w:r>
        <w:t xml:space="preserve">Setup Steps</w:t>
      </w:r>
    </w:p>
    <w:p>
      <w:pPr>
        <w:pStyle w:val="ListParagraph"/>
        <w:numPr>
          <w:ilvl w:val="0"/>
          <w:numId w:val="2"/>
        </w:numPr>
      </w:pPr>
      <w:r>
        <w:rPr>
          <w:b/>
          <w:bCs/>
        </w:rPr>
        <w:t xml:space="preserve">Create AWS KMS Key: </w:t>
      </w:r>
      <w:r>
        <w:t xml:space="preserve">aws kms create-key --key-usage SIGN_VERIFY --customer-master-key-spec ECC_SECG_P256K1 --description "TeraSwap Executor"</w:t>
      </w:r>
    </w:p>
    <w:p>
      <w:pPr>
        <w:pStyle w:val="ListParagraph"/>
        <w:numPr>
          <w:ilvl w:val="0"/>
          <w:numId w:val="2"/>
        </w:numPr>
      </w:pPr>
      <w:r>
        <w:rPr>
          <w:b/>
          <w:bCs/>
        </w:rPr>
        <w:t xml:space="preserve">Create IAM Policy: </w:t>
      </w:r>
      <w:r>
        <w:t xml:space="preserve">Grant kms:Sign and kms:GetPublicKey permissions to the executor's IAM role. Follow least-privilege principle.</w:t>
      </w:r>
    </w:p>
    <w:p>
      <w:pPr>
        <w:pStyle w:val="ListParagraph"/>
        <w:numPr>
          <w:ilvl w:val="0"/>
          <w:numId w:val="2"/>
        </w:numPr>
      </w:pPr>
      <w:r>
        <w:rPr>
          <w:b/>
          <w:bCs/>
        </w:rPr>
        <w:t xml:space="preserve">Set Environment Variables: </w:t>
      </w:r>
      <w:r>
        <w:t xml:space="preserve">KMS_KEY_ID=arn:aws:kms:REGION:ACCOUNT:key/KEY_ID and KMS_REGION=us-east-1 in .env.executor</w:t>
      </w:r>
    </w:p>
    <w:p>
      <w:pPr>
        <w:pStyle w:val="ListParagraph"/>
        <w:numPr>
          <w:ilvl w:val="0"/>
          <w:numId w:val="2"/>
        </w:numPr>
      </w:pPr>
      <w:r>
        <w:rPr>
          <w:b/>
          <w:bCs/>
        </w:rPr>
        <w:t xml:space="preserve">Install AWS SDK: </w:t>
      </w:r>
      <w:r>
        <w:t xml:space="preserve">npm install @aws-sdk/client-kms in the executor directory</w:t>
      </w:r>
    </w:p>
    <w:p>
      <w:pPr>
        <w:pStyle w:val="ListParagraph"/>
        <w:numPr>
          <w:ilvl w:val="0"/>
          <w:numId w:val="2"/>
        </w:numPr>
      </w:pPr>
      <w:r>
        <w:rPr>
          <w:b/>
          <w:bCs/>
        </w:rPr>
        <w:t xml:space="preserve">Whitelist KMS Address: </w:t>
      </w:r>
      <w:r>
        <w:t xml:space="preserve">Call contract.bootstrap([routers], [kmsAddress]) to whitelist the KMS-derived executor address on-chain.</w:t>
      </w:r>
    </w:p>
    <w:p>
      <w:pPr>
        <w:pStyle w:val="Heading3"/>
      </w:pPr>
      <w:r>
        <w:t xml:space="preserve">Architecture</w:t>
      </w:r>
    </w:p>
    <w:p>
      <w:pPr>
        <w:spacing w:after="120"/>
      </w:pPr>
      <w:r>
        <w:t xml:space="preserve">The executor.js main() now calls createExecutorSigner(provider) which auto-detects the signing method by priority: KMS &gt; Vault &gt; Plaintext. When KMS_KEY_ID is set, EXECUTOR_PRIVATE_KEY is completely ignored. The AwsKmsSigner class handles DER decoding, EIP-2 s-value normalization, and v-recovery automatically.</w:t>
      </w:r>
    </w:p>
    <w:p>
      <w:pPr>
        <w:pStyle w:val="Heading2"/>
      </w:pPr>
      <w:r>
        <w:t xml:space="preserve">1.3 Alternative: HashiCorp Vault</w:t>
      </w:r>
    </w:p>
    <w:p>
      <w:pPr>
        <w:spacing w:after="120"/>
      </w:pPr>
      <w:r>
        <w:t xml:space="preserve">For teams using HashiCorp Vault, the module supports VAULT_ADDR, VAULT_TOKEN, and VAULT_KEY_NAME environment variables. The Transit secrets engine with ecdsa-p256k1 key type provides equivalent HSM-backed signing. Implementation is documented in kms-signer.js as a TODO for teams preferring Vault.</w:t>
      </w:r>
    </w:p>
    <w:p>
      <w:pPr>
        <w:pStyle w:val="Heading2"/>
      </w:pPr>
      <w:r>
        <w:t xml:space="preserve">1.4 Files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5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Change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val="false"/>
                <w:bCs w:val="false"/>
                <w:sz w:val="20"/>
                <w:szCs w:val="20"/>
              </w:rPr>
              <w:t xml:space="preserve">executor/kms-signer.js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val="false"/>
                <w:bCs w:val="false"/>
                <w:sz w:val="20"/>
                <w:szCs w:val="20"/>
              </w:rPr>
              <w:t xml:space="preserve">NEW — AwsKmsSigner class + createExecutorSigner() factory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val="false"/>
                <w:bCs w:val="false"/>
                <w:sz w:val="20"/>
                <w:szCs w:val="20"/>
              </w:rPr>
              <w:t xml:space="preserve">executor/executor.js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val="false"/>
                <w:bCs w:val="false"/>
                <w:sz w:val="20"/>
                <w:szCs w:val="20"/>
              </w:rPr>
              <w:t xml:space="preserve">Import kms-signer, use factory in main(), updated validateConfig()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val="false"/>
                <w:bCs w:val="false"/>
                <w:sz w:val="20"/>
                <w:szCs w:val="20"/>
              </w:rPr>
              <w:t xml:space="preserve">.env.executor</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val="false"/>
                <w:bCs w:val="false"/>
                <w:sz w:val="20"/>
                <w:szCs w:val="20"/>
              </w:rPr>
              <w:t xml:space="preserve">Added KMS_KEY_ID, KMS_REGION, VAULT_* placeholders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val="false"/>
                <w:bCs w:val="false"/>
                <w:sz w:val="20"/>
                <w:szCs w:val="20"/>
              </w:rPr>
              <w:t xml:space="preserve">.env.executor.example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val="false"/>
                <w:bCs w:val="false"/>
                <w:sz w:val="20"/>
                <w:szCs w:val="20"/>
              </w:rPr>
              <w:t xml:space="preserve">Updated template with KMS/Vault documentation</w:t>
            </w:r>
          </w:p>
        </w:tc>
      </w:tr>
    </w:tbl>
    <w:p>
      <w:r>
        <w:br w:type="page"/>
      </w:r>
    </w:p>
    <w:p>
      <w:pPr>
        <w:pStyle w:val="Heading1"/>
      </w:pPr>
      <w:r>
        <w:t xml:space="preserve">2. Flashbots Protect RPC (B-02)</w:t>
      </w:r>
    </w:p>
    <w:p>
      <w:pPr>
        <w:pStyle w:val="Heading2"/>
      </w:pPr>
      <w:r>
        <w:t xml:space="preserve">2.1 Problem</w:t>
      </w:r>
    </w:p>
    <w:p>
      <w:pPr>
        <w:spacing w:after="120"/>
      </w:pPr>
      <w:r>
        <w:t xml:space="preserve">Executor transactions go to the public mempool, making them visible to MEV bots. Sandwich attacks can frontrun/backrun order executions, extracting value from TeraSwap users. This is a systemic DeFi risk estimated at $1.4M/month across the ecosystem.</w:t>
      </w:r>
    </w:p>
    <w:p>
      <w:pPr>
        <w:pStyle w:val="Heading2"/>
      </w:pPr>
      <w:r>
        <w:t xml:space="preserve">2.2 Solution</w:t>
      </w:r>
    </w:p>
    <w:p>
      <w:pPr>
        <w:spacing w:after="120"/>
      </w:pPr>
      <w:r>
        <w:t xml:space="preserve">The executor.js already has full Flashbots integration coded. When FLASHBOTS_RPC_URL is set, a separate flashbotsWallet is created that routes executeOrder() transactions through Flashbots Protect RPC (rpc.flashbots.net) instead of the public mempool.</w:t>
      </w:r>
    </w:p>
    <w:p>
      <w:pPr>
        <w:pStyle w:val="Heading3"/>
      </w:pPr>
      <w:r>
        <w:t xml:space="preserve">Activation</w:t>
      </w:r>
    </w:p>
    <w:p>
      <w:pPr>
        <w:pStyle w:val="ListParagraph"/>
        <w:numPr>
          <w:ilvl w:val="0"/>
          <w:numId w:val="3"/>
        </w:numPr>
      </w:pPr>
      <w:r>
        <w:rPr>
          <w:b/>
          <w:bCs/>
        </w:rPr>
        <w:t xml:space="preserve">Sepolia (testnet): </w:t>
      </w:r>
      <w:r>
        <w:t xml:space="preserve">Leave FLASHBOTS_RPC_URL commented out. No MEV bots on testnet.</w:t>
      </w:r>
    </w:p>
    <w:p>
      <w:pPr>
        <w:pStyle w:val="ListParagraph"/>
        <w:numPr>
          <w:ilvl w:val="0"/>
          <w:numId w:val="3"/>
        </w:numPr>
      </w:pPr>
      <w:r>
        <w:rPr>
          <w:b/>
          <w:bCs/>
        </w:rPr>
        <w:t xml:space="preserve">Mainnet: </w:t>
      </w:r>
      <w:r>
        <w:t xml:space="preserve">Uncomment FLASHBOTS_RPC_URL=https://rpc.flashbots.net in .env.executor</w:t>
      </w:r>
    </w:p>
    <w:p>
      <w:pPr>
        <w:pStyle w:val="ListParagraph"/>
        <w:numPr>
          <w:ilvl w:val="0"/>
          <w:numId w:val="3"/>
        </w:numPr>
      </w:pPr>
      <w:r>
        <w:rPr>
          <w:b/>
          <w:bCs/>
        </w:rPr>
        <w:t xml:space="preserve">Verify: </w:t>
      </w:r>
      <w:r>
        <w:t xml:space="preserve">On startup, executor logs: "Flashbots Protect RPC enabled: https://rpc.flashbots.net"</w:t>
      </w:r>
    </w:p>
    <w:p>
      <w:pPr>
        <w:pStyle w:val="Heading2"/>
      </w:pPr>
      <w:r>
        <w:t xml:space="preserve">2.3 How It Works</w:t>
      </w:r>
    </w:p>
    <w:p>
      <w:pPr>
        <w:spacing w:after="120"/>
      </w:pPr>
      <w:r>
        <w:t xml:space="preserve">Flashbots Protect sends transactions directly to block builders, bypassing the public mempool. Transactions are invisible to MEV bots until they're included in a block. This eliminates sandwich attacks on order executions without requiring any smart contract changes.</w:t>
      </w:r>
    </w:p>
    <w:p>
      <w:pPr>
        <w:spacing w:after="120"/>
      </w:pPr>
      <w:r>
        <w:rPr>
          <w:b/>
          <w:bCs/>
        </w:rPr>
        <w:t xml:space="preserve">Important: </w:t>
      </w:r>
      <w:r>
        <w:t xml:space="preserve">The HEALTH_TOKEN has also been configured in .env.executor to protect the /health endpoint from unauthorized access (audit finding B-05).</w:t>
      </w:r>
    </w:p>
    <w:p>
      <w:r>
        <w:br w:type="page"/>
      </w:r>
    </w:p>
    <w:p>
      <w:pPr>
        <w:pStyle w:val="Heading1"/>
      </w:pPr>
      <w:r>
        <w:t xml:space="preserve">3. Supabase Key → Vercel Env Vars (B-06)</w:t>
      </w:r>
    </w:p>
    <w:p>
      <w:pPr>
        <w:pStyle w:val="Heading2"/>
      </w:pPr>
      <w:r>
        <w:t xml:space="preserve">3.1 Problem</w:t>
      </w:r>
    </w:p>
    <w:p>
      <w:pPr>
        <w:spacing w:after="120"/>
      </w:pPr>
      <w:r>
        <w:t xml:space="preserve">SUPABASE_SERVICE_ROLE_KEY is stored in plaintext in .env.local. This key has full database access bypassing Row Level Security. If the source code repository is exposed (accidental git push, backup leak), the database is fully compromised.</w:t>
      </w:r>
    </w:p>
    <w:p>
      <w:pPr>
        <w:pStyle w:val="Heading2"/>
      </w:pPr>
      <w:r>
        <w:t xml:space="preserve">3.2 Solution: Vercel Environment Variables</w:t>
      </w:r>
    </w:p>
    <w:p>
      <w:pPr>
        <w:spacing w:after="120"/>
      </w:pPr>
      <w:r>
        <w:t xml:space="preserve">vercel.json has been updated with an env block that maps all sensitive keys to Vercel secrets (prefixed with @). Vercel encrypts these at rest and injects them at build time. The .env.local file retains the keys for local development only.</w:t>
      </w:r>
    </w:p>
    <w:p>
      <w:pPr>
        <w:pStyle w:val="Heading3"/>
      </w:pPr>
      <w:r>
        <w:t xml:space="preserve">Migration Steps</w:t>
      </w:r>
    </w:p>
    <w:p>
      <w:pPr>
        <w:pStyle w:val="ListParagraph"/>
        <w:numPr>
          <w:ilvl w:val="0"/>
          <w:numId w:val="3"/>
        </w:numPr>
      </w:pPr>
      <w:r>
        <w:rPr>
          <w:b/>
          <w:bCs/>
        </w:rPr>
        <w:t xml:space="preserve">Install Vercel CLI: </w:t>
      </w:r>
      <w:r>
        <w:t xml:space="preserve">npm i -g vercel</w:t>
      </w:r>
    </w:p>
    <w:p>
      <w:pPr>
        <w:pStyle w:val="ListParagraph"/>
        <w:numPr>
          <w:ilvl w:val="0"/>
          <w:numId w:val="3"/>
        </w:numPr>
      </w:pPr>
      <w:r>
        <w:rPr>
          <w:b/>
          <w:bCs/>
        </w:rPr>
        <w:t xml:space="preserve">Link project: </w:t>
      </w:r>
      <w:r>
        <w:t xml:space="preserve">vercel link (in project root)</w:t>
      </w:r>
    </w:p>
    <w:p>
      <w:pPr>
        <w:pStyle w:val="ListParagraph"/>
        <w:numPr>
          <w:ilvl w:val="0"/>
          <w:numId w:val="3"/>
        </w:numPr>
      </w:pPr>
      <w:r>
        <w:rPr>
          <w:b/>
          <w:bCs/>
        </w:rPr>
        <w:t xml:space="preserve">Add secrets: </w:t>
      </w:r>
      <w:r>
        <w:t xml:space="preserve">vercel env add SUPABASE_SERVICE_ROLE_KEY production</w:t>
      </w:r>
    </w:p>
    <w:p>
      <w:pPr>
        <w:pStyle w:val="ListParagraph"/>
        <w:numPr>
          <w:ilvl w:val="0"/>
          <w:numId w:val="3"/>
        </w:numPr>
      </w:pPr>
      <w:r>
        <w:rPr>
          <w:b/>
          <w:bCs/>
        </w:rPr>
        <w:t xml:space="preserve">Add all keys: </w:t>
      </w:r>
      <w:r>
        <w:t xml:space="preserve">Repeat for ONEINCH_API_KEY, ZEROX_API_KEY, and all @-prefixed vars in vercel.json</w:t>
      </w:r>
    </w:p>
    <w:p>
      <w:pPr>
        <w:pStyle w:val="ListParagraph"/>
        <w:numPr>
          <w:ilvl w:val="0"/>
          <w:numId w:val="3"/>
        </w:numPr>
      </w:pPr>
      <w:r>
        <w:rPr>
          <w:b/>
          <w:bCs/>
        </w:rPr>
        <w:t xml:space="preserve">Deploy: </w:t>
      </w:r>
      <w:r>
        <w:t xml:space="preserve">vercel --prod</w:t>
      </w:r>
    </w:p>
    <w:p>
      <w:pPr>
        <w:pStyle w:val="ListParagraph"/>
        <w:numPr>
          <w:ilvl w:val="0"/>
          <w:numId w:val="3"/>
        </w:numPr>
      </w:pPr>
      <w:r>
        <w:rPr>
          <w:b/>
          <w:bCs/>
        </w:rPr>
        <w:t xml:space="preserve">Verify: </w:t>
      </w:r>
      <w:r>
        <w:t xml:space="preserve">Check /api/orders responds correctly. Rotate the Supabase service role key after migration.</w:t>
      </w:r>
    </w:p>
    <w:p>
      <w:pPr>
        <w:pStyle w:val="Heading2"/>
      </w:pPr>
      <w:r>
        <w:t xml:space="preserve">3.3 vercel.json Configuration</w:t>
      </w:r>
    </w:p>
    <w:p>
      <w:pPr>
        <w:spacing w:after="120"/>
      </w:pPr>
      <w:r>
        <w:t xml:space="preserve">The env block in vercel.json maps 16 environment variables to Vercel secrets. Server-only keys (SUPABASE_SERVICE_ROLE_KEY, ONEINCH_API_KEY, ZEROX_API_KEY) are never exposed to the client bundle. Public keys (NEXT_PUBLIC_*) are safe to include in the client but still benefit from Vercel's encrypted storage.</w:t>
      </w:r>
    </w:p>
    <w:p>
      <w:r>
        <w:br w:type="page"/>
      </w:r>
    </w:p>
    <w:p>
      <w:pPr>
        <w:pStyle w:val="Heading1"/>
      </w:pPr>
      <w:r>
        <w:t xml:space="preserve">4. Contract v3: Hash-Based Nonce Model (H-05)</w:t>
      </w:r>
    </w:p>
    <w:p>
      <w:pPr>
        <w:pStyle w:val="Heading2"/>
      </w:pPr>
      <w:r>
        <w:t xml:space="preserve">4.1 Problem</w:t>
      </w:r>
    </w:p>
    <w:p>
      <w:pPr>
        <w:spacing w:after="120"/>
      </w:pPr>
      <w:r>
        <w:t xml:space="preserve">The current nonce model uses sequential incrementing (nonces[sender]++). This prevents users from having multiple active orders executed in parallel — if order #5 executes before order #3, order #3's nonce becomes invalid. The invalidateNonces() function also has no upper bound (fixed in M-04 to nonces[sender]+1000).</w:t>
      </w:r>
    </w:p>
    <w:p>
      <w:pPr>
        <w:pStyle w:val="Heading2"/>
      </w:pPr>
      <w:r>
        <w:t xml:space="preserve">4.2 Solution: Hash-Based Order Tracking</w:t>
      </w:r>
    </w:p>
    <w:p>
      <w:pPr>
        <w:spacing w:after="120"/>
      </w:pPr>
      <w:r>
        <w:t xml:space="preserve">Replace the sequential nonce with a mapping(bytes32 =&gt; bool) usedOrderHashes. Each order is identified by its unique keccak256 hash rather than a sequential nonce. This allows unlimited parallel orders with no execution ordering constraints.</w:t>
      </w:r>
    </w:p>
    <w:p>
      <w:pPr>
        <w:pStyle w:val="Heading3"/>
      </w:pPr>
      <w:r>
        <w:t xml:space="preserve">Contract Changes Required</w:t>
      </w:r>
    </w:p>
    <w:p>
      <w:pPr>
        <w:pStyle w:val="ListParagraph"/>
        <w:numPr>
          <w:ilvl w:val="0"/>
          <w:numId w:val="4"/>
        </w:numPr>
      </w:pPr>
      <w:r>
        <w:rPr>
          <w:b/>
          <w:bCs/>
        </w:rPr>
        <w:t xml:space="preserve">Replace: </w:t>
      </w:r>
      <w:r>
        <w:t xml:space="preserve">mapping(address =&gt; uint256) public nonces → mapping(bytes32 =&gt; bool) public usedOrderHashes</w:t>
      </w:r>
    </w:p>
    <w:p>
      <w:pPr>
        <w:pStyle w:val="ListParagraph"/>
        <w:numPr>
          <w:ilvl w:val="0"/>
          <w:numId w:val="4"/>
        </w:numPr>
      </w:pPr>
      <w:r>
        <w:rPr>
          <w:b/>
          <w:bCs/>
        </w:rPr>
        <w:t xml:space="preserve">executeOrder(): </w:t>
      </w:r>
      <w:r>
        <w:t xml:space="preserve">Check !usedOrderHashes[orderHash], then set usedOrderHashes[orderHash] = true</w:t>
      </w:r>
    </w:p>
    <w:p>
      <w:pPr>
        <w:pStyle w:val="ListParagraph"/>
        <w:numPr>
          <w:ilvl w:val="0"/>
          <w:numId w:val="4"/>
        </w:numPr>
      </w:pPr>
      <w:r>
        <w:rPr>
          <w:b/>
          <w:bCs/>
        </w:rPr>
        <w:t xml:space="preserve">Remove: </w:t>
      </w:r>
      <w:r>
        <w:t xml:space="preserve">invalidateNonces() function (no longer needed — orders are individually cancellable)</w:t>
      </w:r>
    </w:p>
    <w:p>
      <w:pPr>
        <w:pStyle w:val="ListParagraph"/>
        <w:numPr>
          <w:ilvl w:val="0"/>
          <w:numId w:val="4"/>
        </w:numPr>
      </w:pPr>
      <w:r>
        <w:rPr>
          <w:b/>
          <w:bCs/>
        </w:rPr>
        <w:t xml:space="preserve">Add: </w:t>
      </w:r>
      <w:r>
        <w:t xml:space="preserve">cancelOrder(bytes32 orderHash) — marks a specific order hash as used without executing</w:t>
      </w:r>
    </w:p>
    <w:p>
      <w:pPr>
        <w:pStyle w:val="ListParagraph"/>
        <w:numPr>
          <w:ilvl w:val="0"/>
          <w:numId w:val="4"/>
        </w:numPr>
      </w:pPr>
      <w:r>
        <w:rPr>
          <w:b/>
          <w:bCs/>
        </w:rPr>
        <w:t xml:space="preserve">DCA: </w:t>
      </w:r>
      <w:r>
        <w:t xml:space="preserve">Already uses hash-based tracking via dcaExecutions[orderHash]++ — no changes needed</w:t>
      </w:r>
    </w:p>
    <w:p>
      <w:pPr>
        <w:pStyle w:val="Heading3"/>
      </w:pPr>
      <w:r>
        <w:t xml:space="preserve">Frontend Changes</w:t>
      </w:r>
    </w:p>
    <w:p>
      <w:pPr>
        <w:pStyle w:val="ListParagraph"/>
        <w:numPr>
          <w:ilvl w:val="0"/>
          <w:numId w:val="4"/>
        </w:numPr>
      </w:pPr>
      <w:r>
        <w:rPr>
          <w:b/>
          <w:bCs/>
        </w:rPr>
        <w:t xml:space="preserve">useOrderEngine.ts: </w:t>
      </w:r>
      <w:r>
        <w:t xml:space="preserve">Remove sequential nonce fetch. Generate random nonce (uint256) for each order instead.</w:t>
      </w:r>
    </w:p>
    <w:p>
      <w:pPr>
        <w:pStyle w:val="ListParagraph"/>
        <w:numPr>
          <w:ilvl w:val="0"/>
          <w:numId w:val="4"/>
        </w:numPr>
      </w:pPr>
      <w:r>
        <w:rPr>
          <w:b/>
          <w:bCs/>
        </w:rPr>
        <w:t xml:space="preserve">types.ts: </w:t>
      </w:r>
      <w:r>
        <w:t xml:space="preserve">nonce field remains but is now a random value, not sequential.</w:t>
      </w:r>
    </w:p>
    <w:p>
      <w:pPr>
        <w:pStyle w:val="ListParagraph"/>
        <w:numPr>
          <w:ilvl w:val="0"/>
          <w:numId w:val="4"/>
        </w:numPr>
      </w:pPr>
      <w:r>
        <w:rPr>
          <w:b/>
          <w:bCs/>
        </w:rPr>
        <w:t xml:space="preserve">Cancel flow: </w:t>
      </w:r>
      <w:r>
        <w:t xml:space="preserve">Call cancelOrder(hash) instead of invalidateNonces(newNonce).</w:t>
      </w:r>
    </w:p>
    <w:p>
      <w:pPr>
        <w:pStyle w:val="Heading2"/>
      </w:pPr>
      <w:r>
        <w:t xml:space="preserve">4.3 Timeline</w:t>
      </w:r>
    </w:p>
    <w:p>
      <w:pPr>
        <w:spacing w:after="120"/>
      </w:pPr>
      <w:r>
        <w:t xml:space="preserve">This is an architectural change requiring contract redeployment. Estimated effort: 2-3 days. Should be combined with the Sepolia redeployment of the updated v3 bytecode (which already includes C-01 routerDataHash, H-03 staleness, and M-01 balance delta fixes).</w:t>
      </w:r>
    </w:p>
    <w:p>
      <w:r>
        <w:br w:type="page"/>
      </w:r>
    </w:p>
    <w:p>
      <w:pPr>
        <w:pStyle w:val="Heading1"/>
      </w:pPr>
      <w:r>
        <w:t xml:space="preserve">5. Sepolia Deployment Checklist</w:t>
      </w:r>
    </w:p>
    <w:p>
      <w:pPr>
        <w:pStyle w:val="Heading2"/>
      </w:pPr>
      <w:r>
        <w:t xml:space="preserve">5.1 Contract Redeployment</w:t>
      </w:r>
    </w:p>
    <w:p>
      <w:pPr>
        <w:pStyle w:val="ListParagraph"/>
        <w:numPr>
          <w:ilvl w:val="0"/>
          <w:numId w:val="2"/>
        </w:numPr>
      </w:pPr>
      <w:r>
        <w:t xml:space="preserve">Compile TeraSwapOrderExecutor.sol and TeraSwapFeeCollector.sol with solc 0.8.24</w:t>
      </w:r>
    </w:p>
    <w:p>
      <w:pPr>
        <w:pStyle w:val="ListParagraph"/>
        <w:numPr>
          <w:ilvl w:val="0"/>
          <w:numId w:val="2"/>
        </w:numPr>
      </w:pPr>
      <w:r>
        <w:t xml:space="preserve">Deploy both contracts to Sepolia using Hardhat/Foundry</w:t>
      </w:r>
    </w:p>
    <w:p>
      <w:pPr>
        <w:pStyle w:val="ListParagraph"/>
        <w:numPr>
          <w:ilvl w:val="0"/>
          <w:numId w:val="2"/>
        </w:numPr>
      </w:pPr>
      <w:r>
        <w:t xml:space="preserve">Call bootstrap() with approved router addresses AND executor wallet address</w:t>
      </w:r>
    </w:p>
    <w:p>
      <w:pPr>
        <w:pStyle w:val="ListParagraph"/>
        <w:numPr>
          <w:ilvl w:val="0"/>
          <w:numId w:val="2"/>
        </w:numPr>
      </w:pPr>
      <w:r>
        <w:t xml:space="preserve">Update ORDER_EXECUTOR_ADDRESS in .env.executor AND .env.local</w:t>
      </w:r>
    </w:p>
    <w:p>
      <w:pPr>
        <w:pStyle w:val="ListParagraph"/>
        <w:numPr>
          <w:ilvl w:val="0"/>
          <w:numId w:val="2"/>
        </w:numPr>
      </w:pPr>
      <w:r>
        <w:t xml:space="preserve">Verify both contracts on Etherscan (Sepolia)</w:t>
      </w:r>
    </w:p>
    <w:p>
      <w:pPr>
        <w:pStyle w:val="Heading2"/>
      </w:pPr>
      <w:r>
        <w:t xml:space="preserve">5.2 Executor Setup</w:t>
      </w:r>
    </w:p>
    <w:p>
      <w:pPr>
        <w:pStyle w:val="ListParagraph"/>
        <w:numPr>
          <w:ilvl w:val="0"/>
          <w:numId w:val="2"/>
        </w:numPr>
      </w:pPr>
      <w:r>
        <w:t xml:space="preserve">Copy .env.executor.example → .env.executor with real values</w:t>
      </w:r>
    </w:p>
    <w:p>
      <w:pPr>
        <w:pStyle w:val="ListParagraph"/>
        <w:numPr>
          <w:ilvl w:val="0"/>
          <w:numId w:val="2"/>
        </w:numPr>
      </w:pPr>
      <w:r>
        <w:t xml:space="preserve">Set SUPABASE_SERVICE_ROLE_KEY (from Supabase Dashboard → Settings → API)</w:t>
      </w:r>
    </w:p>
    <w:p>
      <w:pPr>
        <w:pStyle w:val="ListParagraph"/>
        <w:numPr>
          <w:ilvl w:val="0"/>
          <w:numId w:val="2"/>
        </w:numPr>
      </w:pPr>
      <w:r>
        <w:t xml:space="preserve">Set TERASWAP_API_URL=http://localhost:3000 (or Vercel URL)</w:t>
      </w:r>
    </w:p>
    <w:p>
      <w:pPr>
        <w:pStyle w:val="ListParagraph"/>
        <w:numPr>
          <w:ilvl w:val="0"/>
          <w:numId w:val="2"/>
        </w:numPr>
      </w:pPr>
      <w:r>
        <w:t xml:space="preserve">Fund executor wallet with Sepolia ETH (for gas)</w:t>
      </w:r>
    </w:p>
    <w:p>
      <w:pPr>
        <w:pStyle w:val="ListParagraph"/>
        <w:numPr>
          <w:ilvl w:val="0"/>
          <w:numId w:val="2"/>
        </w:numPr>
      </w:pPr>
      <w:r>
        <w:t xml:space="preserve">Run: node executor.js — verify it connects and starts polling</w:t>
      </w:r>
    </w:p>
    <w:p>
      <w:pPr>
        <w:pStyle w:val="Heading2"/>
      </w:pPr>
      <w:r>
        <w:t xml:space="preserve">5.3 Frontend Deployment</w:t>
      </w:r>
    </w:p>
    <w:p>
      <w:pPr>
        <w:pStyle w:val="ListParagraph"/>
        <w:numPr>
          <w:ilvl w:val="0"/>
          <w:numId w:val="2"/>
        </w:numPr>
      </w:pPr>
      <w:r>
        <w:t xml:space="preserve">Run npx next build — verify zero TypeScript errors</w:t>
      </w:r>
    </w:p>
    <w:p>
      <w:pPr>
        <w:pStyle w:val="ListParagraph"/>
        <w:numPr>
          <w:ilvl w:val="0"/>
          <w:numId w:val="2"/>
        </w:numPr>
      </w:pPr>
      <w:r>
        <w:t xml:space="preserve">Deploy to Vercel: vercel --prod</w:t>
      </w:r>
    </w:p>
    <w:p>
      <w:pPr>
        <w:pStyle w:val="ListParagraph"/>
        <w:numPr>
          <w:ilvl w:val="0"/>
          <w:numId w:val="2"/>
        </w:numPr>
      </w:pPr>
      <w:r>
        <w:t xml:space="preserve">Add all Vercel env vars (see Section 3.2)</w:t>
      </w:r>
    </w:p>
    <w:p>
      <w:pPr>
        <w:pStyle w:val="ListParagraph"/>
        <w:numPr>
          <w:ilvl w:val="0"/>
          <w:numId w:val="2"/>
        </w:numPr>
      </w:pPr>
      <w:r>
        <w:t xml:space="preserve">Test: connect wallet, create a limit order, verify it appears in Supabase</w:t>
      </w:r>
    </w:p>
    <w:p>
      <w:pPr>
        <w:pStyle w:val="ListParagraph"/>
        <w:numPr>
          <w:ilvl w:val="0"/>
          <w:numId w:val="2"/>
        </w:numPr>
      </w:pPr>
      <w:r>
        <w:t xml:space="preserve">Test: executor picks up the order and attempts execution</w:t>
      </w:r>
    </w:p>
    <w:p>
      <w:pPr>
        <w:pStyle w:val="Heading2"/>
      </w:pPr>
      <w:r>
        <w:t xml:space="preserve">5.4 Pre-Mainnet Gate</w:t>
      </w:r>
    </w:p>
    <w:p>
      <w:pPr>
        <w:spacing w:after="120"/>
      </w:pPr>
      <w:r>
        <w:t xml:space="preserve">Before deploying to mainnet with real funds, the following MUST be completed:</w:t>
      </w:r>
    </w:p>
    <w:p>
      <w:pPr>
        <w:pStyle w:val="ListParagraph"/>
        <w:numPr>
          <w:ilvl w:val="0"/>
          <w:numId w:val="4"/>
        </w:numPr>
      </w:pPr>
      <w:r>
        <w:t xml:space="preserve">HSM/KMS active for executor key (no plaintext EXECUTOR_PRIVATE_KEY)</w:t>
      </w:r>
    </w:p>
    <w:p>
      <w:pPr>
        <w:pStyle w:val="ListParagraph"/>
        <w:numPr>
          <w:ilvl w:val="0"/>
          <w:numId w:val="4"/>
        </w:numPr>
      </w:pPr>
      <w:r>
        <w:t xml:space="preserve">Flashbots RPC active (FLASHBOTS_RPC_URL=https://rpc.flashbots.net)</w:t>
      </w:r>
    </w:p>
    <w:p>
      <w:pPr>
        <w:pStyle w:val="ListParagraph"/>
        <w:numPr>
          <w:ilvl w:val="0"/>
          <w:numId w:val="4"/>
        </w:numPr>
      </w:pPr>
      <w:r>
        <w:t xml:space="preserve">All secrets in Vercel env vars (not .env.local)</w:t>
      </w:r>
    </w:p>
    <w:p>
      <w:pPr>
        <w:pStyle w:val="ListParagraph"/>
        <w:numPr>
          <w:ilvl w:val="0"/>
          <w:numId w:val="4"/>
        </w:numPr>
      </w:pPr>
      <w:r>
        <w:t xml:space="preserve">Contract v3 with hash-based nonces deployed</w:t>
      </w:r>
    </w:p>
    <w:p>
      <w:pPr>
        <w:pStyle w:val="ListParagraph"/>
        <w:numPr>
          <w:ilvl w:val="0"/>
          <w:numId w:val="4"/>
        </w:numPr>
      </w:pPr>
      <w:r>
        <w:t xml:space="preserve">Professional audit firm engaged (Trail of Bits, Spearbit, OpenZeppelin)</w:t>
      </w:r>
    </w:p>
    <w:p>
      <w:pPr>
        <w:pStyle w:val="ListParagraph"/>
        <w:numPr>
          <w:ilvl w:val="0"/>
          <w:numId w:val="4"/>
        </w:numPr>
      </w:pPr>
      <w:r>
        <w:t xml:space="preserve">On-chain monitoring deployed (OpenZeppelin Defender / Forta)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B2A4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2026-03-06T18:51:06.749Z</dcterms:created>
  <dcterms:modified xsi:type="dcterms:W3CDTF">2026-03-06T18:51:06.749Z</dcterms:modified>
</cp:coreProperties>
</file>

<file path=docProps/custom.xml><?xml version="1.0" encoding="utf-8"?>
<Properties xmlns="http://schemas.openxmlformats.org/officeDocument/2006/custom-properties" xmlns:vt="http://schemas.openxmlformats.org/officeDocument/2006/docPropsVTypes"/>
</file>