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2304A"/>
          <w:sz w:val="46"/>
        </w:rPr>
        <w:t>HydroVision Integration Contract</w:t>
      </w:r>
    </w:p>
    <w:p>
      <w:pPr>
        <w:jc w:val="center"/>
      </w:pPr>
      <w:r>
        <w:rPr>
          <w:i/>
          <w:color w:val="5A6973"/>
          <w:sz w:val="20"/>
        </w:rPr>
        <w:t>Shared contract for Bagul • Svi • Rathod • Purvika</w:t>
      </w:r>
    </w:p>
    <w:p>
      <w:r>
        <w:t>Status: STARTING CONTRACT — documentation only. No implementation is assumed to exist. Confirm open decisions before treating this as final.</w:t>
      </w:r>
    </w:p>
    <w:p>
      <w:pPr>
        <w:pStyle w:val="Heading1"/>
      </w:pPr>
      <w:r>
        <w:t>1. Purpose and working rule</w:t>
      </w:r>
    </w:p>
    <w:p>
      <w:r>
        <w:t>This document prevents the four modules from inventing incompatible interfaces. It is a proposed starting contract, not proof that an endpoint, database table, or workflow already exists. Keep it in the repository and update it when the team confirms a decision.</w:t>
      </w:r>
    </w:p>
    <w:p>
      <w:pPr>
        <w:pStyle w:val="ListBullet"/>
        <w:spacing w:after="40"/>
      </w:pPr>
      <w:r>
        <w:t>Bagul owns the canonical database schema, backend API, risk logic, and source-health data contract.</w:t>
      </w:r>
    </w:p>
    <w:p>
      <w:pPr>
        <w:pStyle w:val="ListBullet"/>
        <w:spacing w:after="40"/>
      </w:pPr>
      <w:r>
        <w:t>Svi owns the frontend routes, UI states, and API client integration.</w:t>
      </w:r>
    </w:p>
    <w:p>
      <w:pPr>
        <w:pStyle w:val="ListBullet"/>
        <w:spacing w:after="40"/>
      </w:pPr>
      <w:r>
        <w:t>Rathod owns n8n automation, Telegram delivery, acknowledgement/escalation workflows, SOS/tasks, and digests.</w:t>
      </w:r>
    </w:p>
    <w:p>
      <w:pPr>
        <w:pStyle w:val="ListBullet"/>
        <w:spacing w:after="40"/>
      </w:pPr>
      <w:r>
        <w:t>Purvika owns AI/RAG/replay feature logic and AI endpoint contracts, and coordinates end-to-end integration.</w:t>
      </w:r>
    </w:p>
    <w:p>
      <w:pPr>
        <w:pStyle w:val="ListBullet"/>
        <w:spacing w:after="40"/>
      </w:pPr>
      <w:r>
        <w:t>Do not silently rename fields, change enum values, or add a second source of truth. Propose a change, update this document, and notify all affected owners.</w:t>
      </w:r>
    </w:p>
    <w:p>
      <w:pPr>
        <w:pStyle w:val="Heading1"/>
      </w:pPr>
      <w:r>
        <w:t>2. Contract status labels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2304A"/>
          </w:tcPr>
          <w:p>
            <w:r>
              <w:rPr>
                <w:b/>
                <w:color w:val="FFFFFF"/>
                <w:sz w:val="17"/>
              </w:rPr>
              <w:t>Label</w:t>
            </w:r>
          </w:p>
        </w:tc>
        <w:tc>
          <w:tcPr>
            <w:tcW w:type="dxa" w:w="3360"/>
            <w:shd w:fill="12304A"/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360"/>
            <w:shd w:fill="12304A"/>
          </w:tcPr>
          <w:p>
            <w:r>
              <w:rPr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3360"/>
            <w:vAlign w:val="top"/>
            <w:shd w:fill="F4F7F9"/>
          </w:tcPr>
          <w:p>
            <w:pPr>
              <w:spacing w:after="20"/>
            </w:pPr>
            <w:r>
              <w:rPr>
                <w:sz w:val="16"/>
              </w:rPr>
              <w:t>PROPOSED</w:t>
            </w:r>
          </w:p>
        </w:tc>
        <w:tc>
          <w:tcPr>
            <w:tcW w:type="dxa" w:w="3360"/>
            <w:vAlign w:val="top"/>
            <w:shd w:fill="F4F7F9"/>
          </w:tcPr>
          <w:p>
            <w:pPr>
              <w:spacing w:after="20"/>
            </w:pPr>
            <w:r>
              <w:rPr>
                <w:sz w:val="16"/>
              </w:rPr>
              <w:t>Suggested design below; not implemented or approved yet.</w:t>
            </w:r>
          </w:p>
        </w:tc>
        <w:tc>
          <w:tcPr>
            <w:tcW w:type="dxa" w:w="3360"/>
            <w:vAlign w:val="top"/>
            <w:shd w:fill="F4F7F9"/>
          </w:tcPr>
          <w:p>
            <w:pPr>
              <w:spacing w:after="20"/>
            </w:pPr>
            <w:r>
              <w:rPr>
                <w:sz w:val="16"/>
              </w:rPr>
              <w:t>May be adjusted by the named owner after team review.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20"/>
            </w:pPr>
            <w:r>
              <w:rPr>
                <w:sz w:val="16"/>
              </w:rPr>
              <w:t>CONFIRMED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>
              <w:rPr>
                <w:sz w:val="16"/>
              </w:rPr>
              <w:t>Team explicitly agreed on the contract.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>
              <w:rPr>
                <w:sz w:val="16"/>
              </w:rPr>
              <w:t>Changes require notifying all affected owners.</w:t>
            </w:r>
          </w:p>
        </w:tc>
      </w:tr>
      <w:tr>
        <w:tc>
          <w:tcPr>
            <w:tcW w:type="dxa" w:w="3360"/>
            <w:vAlign w:val="top"/>
            <w:shd w:fill="F4F7F9"/>
          </w:tcPr>
          <w:p>
            <w:pPr>
              <w:spacing w:after="20"/>
            </w:pPr>
            <w:r>
              <w:rPr>
                <w:sz w:val="16"/>
              </w:rPr>
              <w:t>IMPLEMENTED</w:t>
            </w:r>
          </w:p>
        </w:tc>
        <w:tc>
          <w:tcPr>
            <w:tcW w:type="dxa" w:w="3360"/>
            <w:vAlign w:val="top"/>
            <w:shd w:fill="F4F7F9"/>
          </w:tcPr>
          <w:p>
            <w:pPr>
              <w:spacing w:after="20"/>
            </w:pPr>
            <w:r>
              <w:rPr>
                <w:sz w:val="16"/>
              </w:rPr>
              <w:t>Code/migration/workflow exists and has been tested.</w:t>
            </w:r>
          </w:p>
        </w:tc>
        <w:tc>
          <w:tcPr>
            <w:tcW w:type="dxa" w:w="3360"/>
            <w:vAlign w:val="top"/>
            <w:shd w:fill="F4F7F9"/>
          </w:tcPr>
          <w:p>
            <w:pPr>
              <w:spacing w:after="20"/>
            </w:pPr>
            <w:r>
              <w:rPr>
                <w:sz w:val="16"/>
              </w:rPr>
              <w:t>Link a commit, migration, test, or workflow export.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20"/>
            </w:pPr>
            <w:r>
              <w:rPr>
                <w:sz w:val="16"/>
              </w:rPr>
              <w:t>VERIFIED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>
              <w:rPr>
                <w:sz w:val="16"/>
              </w:rPr>
              <w:t>Integration test passed against the shared environment.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>
              <w:rPr>
                <w:sz w:val="16"/>
              </w:rPr>
              <w:t>Record date, test evidence, and who ran it.</w:t>
            </w:r>
          </w:p>
        </w:tc>
      </w:tr>
    </w:tbl>
    <w:p/>
    <w:p>
      <w:pPr>
        <w:pStyle w:val="Heading1"/>
      </w:pPr>
      <w:r>
        <w:t>3. Minimum API conventions</w:t>
      </w:r>
    </w:p>
    <w:p>
      <w:pPr>
        <w:pStyle w:val="ListBullet"/>
        <w:spacing w:after="40"/>
      </w:pPr>
      <w:r>
        <w:t>Base URL: configure through environment variables; never hard-code localhost or a deployment URL into reusable code.</w:t>
      </w:r>
    </w:p>
    <w:p>
      <w:pPr>
        <w:pStyle w:val="ListBullet"/>
        <w:spacing w:after="40"/>
      </w:pPr>
      <w:r>
        <w:t>JSON request/response bodies use consistent snake_case field names unless the team confirms another convention.</w:t>
      </w:r>
    </w:p>
    <w:p>
      <w:pPr>
        <w:pStyle w:val="ListBullet"/>
        <w:spacing w:after="40"/>
      </w:pPr>
      <w:r>
        <w:t>Timestamps are ISO 8601. Store timestamps in UTC; display local time in the UI.</w:t>
      </w:r>
    </w:p>
    <w:p>
      <w:pPr>
        <w:pStyle w:val="ListBullet"/>
        <w:spacing w:after="40"/>
      </w:pPr>
      <w:r>
        <w:t>Every response that describes an observation should distinguish observation time from retrieval/processing time.</w:t>
      </w:r>
    </w:p>
    <w:p>
      <w:pPr>
        <w:pStyle w:val="ListBullet"/>
        <w:spacing w:after="40"/>
      </w:pPr>
      <w:r>
        <w:t>Use stable IDs for records and events. Do not use a display name or timestamp alone as a unique identifier.</w:t>
      </w:r>
    </w:p>
    <w:p>
      <w:pPr>
        <w:pStyle w:val="ListBullet"/>
        <w:spacing w:after="40"/>
      </w:pPr>
      <w:r>
        <w:t>Return predictable errors with an HTTP status and a safe machine-readable body. Never return stack traces, secrets, or raw provider errors to the browser.</w:t>
      </w:r>
    </w:p>
    <w:p>
      <w:pPr>
        <w:pStyle w:val="ListBullet"/>
        <w:spacing w:after="40"/>
      </w:pPr>
      <w:r>
        <w:t>Protect write endpoints with server-side authentication and authorization. Frontend-only role hiding is not security.</w:t>
      </w:r>
    </w:p>
    <w:p>
      <w:pPr>
        <w:pStyle w:val="Heading1"/>
      </w:pPr>
      <w:r>
        <w:t>4. Proposed common response envelope</w:t>
      </w:r>
    </w:p>
    <w:p>
      <w:r>
        <w:t>Success response (example only):</w:t>
      </w:r>
    </w:p>
    <w:p>
      <w:pPr>
        <w:ind w:left="360"/>
      </w:pPr>
      <w:r>
        <w:rPr>
          <w:rFonts w:ascii="Consolas" w:hAnsi="Consolas"/>
          <w:sz w:val="17"/>
        </w:rPr>
        <w:t>{</w:t>
        <w:br/>
        <w:t xml:space="preserve">  "data": { "...": "feature-specific fields" },</w:t>
        <w:br/>
        <w:t xml:space="preserve">  "meta": { "request_id": "req_example", "generated_at": "2026-01-01T12:00:00Z" }</w:t>
        <w:br/>
        <w:t>}</w:t>
      </w:r>
    </w:p>
    <w:p>
      <w:r>
        <w:t>Error response (example only):</w:t>
      </w:r>
    </w:p>
    <w:p>
      <w:pPr>
        <w:ind w:left="360"/>
      </w:pPr>
      <w:r>
        <w:rPr>
          <w:rFonts w:ascii="Consolas" w:hAnsi="Consolas"/>
          <w:sz w:val="17"/>
        </w:rPr>
        <w:t>{</w:t>
        <w:br/>
        <w:t xml:space="preserve">  "error": {</w:t>
        <w:br/>
        <w:t xml:space="preserve">    "code": "VALIDATION_ERROR",</w:t>
        <w:br/>
        <w:t xml:space="preserve">    "message": "A required field is missing.",</w:t>
        <w:br/>
        <w:t xml:space="preserve">    "request_id": "req_example"</w:t>
        <w:br/>
        <w:t xml:space="preserve">  }</w:t>
        <w:br/>
        <w:t>}</w:t>
      </w:r>
    </w:p>
    <w:p>
      <w:pPr>
        <w:pStyle w:val="ListBullet"/>
        <w:spacing w:after="40"/>
      </w:pPr>
      <w:r>
        <w:t>These envelopes are proposals. Bagul confirms the final shape before frontend and workflow clients depend on it.</w:t>
      </w:r>
    </w:p>
    <w:p>
      <w:pPr>
        <w:pStyle w:val="Heading1"/>
      </w:pPr>
      <w:r>
        <w:t>5. Initial endpoint inventory to confirm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2304A"/>
          </w:tcPr>
          <w:p>
            <w:r>
              <w:rPr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3360"/>
            <w:shd w:fill="12304A"/>
          </w:tcPr>
          <w:p>
            <w:r>
              <w:rPr>
                <w:b/>
                <w:color w:val="FFFFFF"/>
                <w:sz w:val="17"/>
              </w:rPr>
              <w:t>Likely owner</w:t>
            </w:r>
          </w:p>
        </w:tc>
        <w:tc>
          <w:tcPr>
            <w:tcW w:type="dxa" w:w="3360"/>
            <w:shd w:fill="12304A"/>
          </w:tcPr>
          <w:p>
            <w:r>
              <w:rPr>
                <w:b/>
                <w:color w:val="FFFFFF"/>
                <w:sz w:val="17"/>
              </w:rPr>
              <w:t>Minimum contract details still to confirm</w:t>
            </w:r>
          </w:p>
        </w:tc>
      </w:tr>
      <w:tr>
        <w:tc>
          <w:tcPr>
            <w:tcW w:type="dxa" w:w="3360"/>
            <w:vAlign w:val="top"/>
            <w:shd w:fill="F4F7F9"/>
          </w:tcPr>
          <w:p>
            <w:pPr>
              <w:spacing w:after="20"/>
            </w:pPr>
            <w:r>
              <w:rPr>
                <w:sz w:val="16"/>
              </w:rPr>
              <w:t>Authentication / current user</w:t>
            </w:r>
          </w:p>
        </w:tc>
        <w:tc>
          <w:tcPr>
            <w:tcW w:type="dxa" w:w="3360"/>
            <w:vAlign w:val="top"/>
            <w:shd w:fill="F4F7F9"/>
          </w:tcPr>
          <w:p>
            <w:pPr>
              <w:spacing w:after="20"/>
            </w:pPr>
            <w:r>
              <w:rPr>
                <w:sz w:val="16"/>
              </w:rPr>
              <w:t>Bagul</w:t>
            </w:r>
          </w:p>
        </w:tc>
        <w:tc>
          <w:tcPr>
            <w:tcW w:type="dxa" w:w="3360"/>
            <w:vAlign w:val="top"/>
            <w:shd w:fill="F4F7F9"/>
          </w:tcPr>
          <w:p>
            <w:pPr>
              <w:spacing w:after="20"/>
            </w:pPr>
            <w:r>
              <w:rPr>
                <w:sz w:val="16"/>
              </w:rPr>
              <w:t>Provider, session model, roles, token handling, unauthorized response.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20"/>
            </w:pPr>
            <w:r>
              <w:rPr>
                <w:sz w:val="16"/>
              </w:rPr>
              <w:t>Risk summary / observations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>
              <w:rPr>
                <w:sz w:val="16"/>
              </w:rPr>
              <w:t>Bagul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>
              <w:rPr>
                <w:sz w:val="16"/>
              </w:rPr>
              <w:t>Input sources, thresholds, location IDs, freshness fields, uncertainty, response schema.</w:t>
            </w:r>
          </w:p>
        </w:tc>
      </w:tr>
      <w:tr>
        <w:tc>
          <w:tcPr>
            <w:tcW w:type="dxa" w:w="3360"/>
            <w:vAlign w:val="top"/>
            <w:shd w:fill="F4F7F9"/>
          </w:tcPr>
          <w:p>
            <w:pPr>
              <w:spacing w:after="20"/>
            </w:pPr>
            <w:r>
              <w:rPr>
                <w:sz w:val="16"/>
              </w:rPr>
              <w:t>Source health</w:t>
            </w:r>
          </w:p>
        </w:tc>
        <w:tc>
          <w:tcPr>
            <w:tcW w:type="dxa" w:w="3360"/>
            <w:vAlign w:val="top"/>
            <w:shd w:fill="F4F7F9"/>
          </w:tcPr>
          <w:p>
            <w:pPr>
              <w:spacing w:after="20"/>
            </w:pPr>
            <w:r>
              <w:rPr>
                <w:sz w:val="16"/>
              </w:rPr>
              <w:t>Bagul</w:t>
            </w:r>
          </w:p>
        </w:tc>
        <w:tc>
          <w:tcPr>
            <w:tcW w:type="dxa" w:w="3360"/>
            <w:vAlign w:val="top"/>
            <w:shd w:fill="F4F7F9"/>
          </w:tcPr>
          <w:p>
            <w:pPr>
              <w:spacing w:after="20"/>
            </w:pPr>
            <w:r>
              <w:rPr>
                <w:sz w:val="16"/>
              </w:rPr>
              <w:t>Per-source status, last_success_at, last_observed_at, stale threshold, error state.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20"/>
            </w:pPr>
            <w:r>
              <w:rPr>
                <w:sz w:val="16"/>
              </w:rPr>
              <w:t>Alert create / approve / status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>
              <w:rPr>
                <w:sz w:val="16"/>
              </w:rPr>
              <w:t>Bagul + Rathod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>
              <w:rPr>
                <w:sz w:val="16"/>
              </w:rPr>
              <w:t>Allowed transitions, approving role, audit record, idempotency key, delivery state.</w:t>
            </w:r>
          </w:p>
        </w:tc>
      </w:tr>
      <w:tr>
        <w:tc>
          <w:tcPr>
            <w:tcW w:type="dxa" w:w="3360"/>
            <w:vAlign w:val="top"/>
            <w:shd w:fill="F4F7F9"/>
          </w:tcPr>
          <w:p>
            <w:pPr>
              <w:spacing w:after="20"/>
            </w:pPr>
            <w:r>
              <w:rPr>
                <w:sz w:val="16"/>
              </w:rPr>
              <w:t>Acknowledgement / escalation</w:t>
            </w:r>
          </w:p>
        </w:tc>
        <w:tc>
          <w:tcPr>
            <w:tcW w:type="dxa" w:w="3360"/>
            <w:vAlign w:val="top"/>
            <w:shd w:fill="F4F7F9"/>
          </w:tcPr>
          <w:p>
            <w:pPr>
              <w:spacing w:after="20"/>
            </w:pPr>
            <w:r>
              <w:rPr>
                <w:sz w:val="16"/>
              </w:rPr>
              <w:t>Bagul + Rathod</w:t>
            </w:r>
          </w:p>
        </w:tc>
        <w:tc>
          <w:tcPr>
            <w:tcW w:type="dxa" w:w="3360"/>
            <w:vAlign w:val="top"/>
            <w:shd w:fill="F4F7F9"/>
          </w:tcPr>
          <w:p>
            <w:pPr>
              <w:spacing w:after="20"/>
            </w:pPr>
            <w:r>
              <w:rPr>
                <w:sz w:val="16"/>
              </w:rPr>
              <w:t>Who can acknowledge, reply precedence, timeout rules, retry behavior.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20"/>
            </w:pPr>
            <w:r>
              <w:rPr>
                <w:sz w:val="16"/>
              </w:rPr>
              <w:t>SOS / task assignment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>
              <w:rPr>
                <w:sz w:val="16"/>
              </w:rPr>
              <w:t>Bagul + Rathod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>
              <w:rPr>
                <w:sz w:val="16"/>
              </w:rPr>
              <w:t>Atomic task acceptance, assignment state, authorized roles, duplicate handling.</w:t>
            </w:r>
          </w:p>
        </w:tc>
      </w:tr>
      <w:tr>
        <w:tc>
          <w:tcPr>
            <w:tcW w:type="dxa" w:w="3360"/>
            <w:vAlign w:val="top"/>
            <w:shd w:fill="F4F7F9"/>
          </w:tcPr>
          <w:p>
            <w:pPr>
              <w:spacing w:after="20"/>
            </w:pPr>
            <w:r>
              <w:rPr>
                <w:sz w:val="16"/>
              </w:rPr>
              <w:t>Photo report upload / review</w:t>
            </w:r>
          </w:p>
        </w:tc>
        <w:tc>
          <w:tcPr>
            <w:tcW w:type="dxa" w:w="3360"/>
            <w:vAlign w:val="top"/>
            <w:shd w:fill="F4F7F9"/>
          </w:tcPr>
          <w:p>
            <w:pPr>
              <w:spacing w:after="20"/>
            </w:pPr>
            <w:r>
              <w:rPr>
                <w:sz w:val="16"/>
              </w:rPr>
              <w:t>Bagul + Svi</w:t>
            </w:r>
          </w:p>
        </w:tc>
        <w:tc>
          <w:tcPr>
            <w:tcW w:type="dxa" w:w="3360"/>
            <w:vAlign w:val="top"/>
            <w:shd w:fill="F4F7F9"/>
          </w:tcPr>
          <w:p>
            <w:pPr>
              <w:spacing w:after="20"/>
            </w:pPr>
            <w:r>
              <w:rPr>
                <w:sz w:val="16"/>
              </w:rPr>
              <w:t>File size/type limits, storage policy, review state, privacy, verification rules.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20"/>
            </w:pPr>
            <w:r>
              <w:rPr>
                <w:sz w:val="16"/>
              </w:rPr>
              <w:t>AI knowledge / copilot endpoints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>
              <w:rPr>
                <w:sz w:val="16"/>
              </w:rPr>
              <w:t>Purvika + Bagul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>
              <w:rPr>
                <w:sz w:val="16"/>
              </w:rPr>
              <w:t>Request limits, evidence references, timeout, confidence/uncertainty, validated output schema.</w:t>
            </w:r>
          </w:p>
        </w:tc>
      </w:tr>
      <w:tr>
        <w:tc>
          <w:tcPr>
            <w:tcW w:type="dxa" w:w="3360"/>
            <w:vAlign w:val="top"/>
            <w:shd w:fill="F4F7F9"/>
          </w:tcPr>
          <w:p>
            <w:pPr>
              <w:spacing w:after="20"/>
            </w:pPr>
            <w:r>
              <w:rPr>
                <w:sz w:val="16"/>
              </w:rPr>
              <w:t>Replay / simulated events</w:t>
            </w:r>
          </w:p>
        </w:tc>
        <w:tc>
          <w:tcPr>
            <w:tcW w:type="dxa" w:w="3360"/>
            <w:vAlign w:val="top"/>
            <w:shd w:fill="F4F7F9"/>
          </w:tcPr>
          <w:p>
            <w:pPr>
              <w:spacing w:after="20"/>
            </w:pPr>
            <w:r>
              <w:rPr>
                <w:sz w:val="16"/>
              </w:rPr>
              <w:t>Purvika + Bagul + Rathod</w:t>
            </w:r>
          </w:p>
        </w:tc>
        <w:tc>
          <w:tcPr>
            <w:tcW w:type="dxa" w:w="3360"/>
            <w:vAlign w:val="top"/>
            <w:shd w:fill="F4F7F9"/>
          </w:tcPr>
          <w:p>
            <w:pPr>
              <w:spacing w:after="20"/>
            </w:pPr>
            <w:r>
              <w:rPr>
                <w:sz w:val="16"/>
              </w:rPr>
              <w:t>Simulation marker, isolated data, reset behavior, test-recipient routing.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20"/>
            </w:pPr>
            <w:r>
              <w:rPr>
                <w:sz w:val="16"/>
              </w:rPr>
              <w:t>Realtime updates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>
              <w:rPr>
                <w:sz w:val="16"/>
              </w:rPr>
              <w:t>Bagul + Svi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>
              <w:rPr>
                <w:sz w:val="16"/>
              </w:rPr>
              <w:t>Tables/events subscribed to, authorization, reconnect/refetch behavior.</w:t>
            </w:r>
          </w:p>
        </w:tc>
      </w:tr>
    </w:tbl>
    <w:p/>
    <w:p>
      <w:pPr>
        <w:pStyle w:val="Heading1"/>
      </w:pPr>
      <w:r>
        <w:t>6. Shared data fields and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2304A"/>
          </w:tcPr>
          <w:p>
            <w:r>
              <w:rPr>
                <w:b/>
                <w:color w:val="FFFFFF"/>
                <w:sz w:val="17"/>
              </w:rPr>
              <w:t>Field / concept</w:t>
            </w:r>
          </w:p>
        </w:tc>
        <w:tc>
          <w:tcPr>
            <w:tcW w:type="dxa" w:w="5040"/>
            <w:shd w:fill="12304A"/>
          </w:tcPr>
          <w:p>
            <w:r>
              <w:rPr>
                <w:b/>
                <w:color w:val="FFFFFF"/>
                <w:sz w:val="17"/>
              </w:rPr>
              <w:t>Proposed rule</w:t>
            </w:r>
          </w:p>
        </w:tc>
      </w:tr>
      <w:tr>
        <w:tc>
          <w:tcPr>
            <w:tcW w:type="dxa" w:w="5040"/>
            <w:vAlign w:val="top"/>
            <w:shd w:fill="F4F7F9"/>
          </w:tcPr>
          <w:p>
            <w:pPr>
              <w:spacing w:after="20"/>
            </w:pPr>
            <w:r>
              <w:rPr>
                <w:sz w:val="16"/>
              </w:rPr>
              <w:t>id</w:t>
            </w:r>
          </w:p>
        </w:tc>
        <w:tc>
          <w:tcPr>
            <w:tcW w:type="dxa" w:w="5040"/>
            <w:vAlign w:val="top"/>
            <w:shd w:fill="F4F7F9"/>
          </w:tcPr>
          <w:p>
            <w:pPr>
              <w:spacing w:after="20"/>
            </w:pPr>
            <w:r>
              <w:rPr>
                <w:sz w:val="16"/>
              </w:rPr>
              <w:t>Stable server-generated ID; frontend treats as opaque string.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20"/>
            </w:pPr>
            <w:r>
              <w:rPr>
                <w:sz w:val="16"/>
              </w:rPr>
              <w:t>created_at / updated_at</w:t>
            </w:r>
          </w:p>
        </w:tc>
        <w:tc>
          <w:tcPr>
            <w:tcW w:type="dxa" w:w="5040"/>
            <w:vAlign w:val="top"/>
          </w:tcPr>
          <w:p>
            <w:pPr>
              <w:spacing w:after="20"/>
            </w:pPr>
            <w:r>
              <w:rPr>
                <w:sz w:val="16"/>
              </w:rPr>
              <w:t>UTC timestamps; server-controlled.</w:t>
            </w:r>
          </w:p>
        </w:tc>
      </w:tr>
      <w:tr>
        <w:tc>
          <w:tcPr>
            <w:tcW w:type="dxa" w:w="5040"/>
            <w:vAlign w:val="top"/>
            <w:shd w:fill="F4F7F9"/>
          </w:tcPr>
          <w:p>
            <w:pPr>
              <w:spacing w:after="20"/>
            </w:pPr>
            <w:r>
              <w:rPr>
                <w:sz w:val="16"/>
              </w:rPr>
              <w:t>observed_at</w:t>
            </w:r>
          </w:p>
        </w:tc>
        <w:tc>
          <w:tcPr>
            <w:tcW w:type="dxa" w:w="5040"/>
            <w:vAlign w:val="top"/>
            <w:shd w:fill="F4F7F9"/>
          </w:tcPr>
          <w:p>
            <w:pPr>
              <w:spacing w:after="20"/>
            </w:pPr>
            <w:r>
              <w:rPr>
                <w:sz w:val="16"/>
              </w:rPr>
              <w:t>When the external or human observation actually occurred.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20"/>
            </w:pPr>
            <w:r>
              <w:rPr>
                <w:sz w:val="16"/>
              </w:rPr>
              <w:t>fetched_at / processed_at</w:t>
            </w:r>
          </w:p>
        </w:tc>
        <w:tc>
          <w:tcPr>
            <w:tcW w:type="dxa" w:w="5040"/>
            <w:vAlign w:val="top"/>
          </w:tcPr>
          <w:p>
            <w:pPr>
              <w:spacing w:after="20"/>
            </w:pPr>
            <w:r>
              <w:rPr>
                <w:sz w:val="16"/>
              </w:rPr>
              <w:t>When HydroVision retrieved or processed it; not interchangeable with observed_at.</w:t>
            </w:r>
          </w:p>
        </w:tc>
      </w:tr>
      <w:tr>
        <w:tc>
          <w:tcPr>
            <w:tcW w:type="dxa" w:w="5040"/>
            <w:vAlign w:val="top"/>
            <w:shd w:fill="F4F7F9"/>
          </w:tcPr>
          <w:p>
            <w:pPr>
              <w:spacing w:after="20"/>
            </w:pPr>
            <w:r>
              <w:rPr>
                <w:sz w:val="16"/>
              </w:rPr>
              <w:t>source_id / source_name</w:t>
            </w:r>
          </w:p>
        </w:tc>
        <w:tc>
          <w:tcPr>
            <w:tcW w:type="dxa" w:w="5040"/>
            <w:vAlign w:val="top"/>
            <w:shd w:fill="F4F7F9"/>
          </w:tcPr>
          <w:p>
            <w:pPr>
              <w:spacing w:after="20"/>
            </w:pPr>
            <w:r>
              <w:rPr>
                <w:sz w:val="16"/>
              </w:rPr>
              <w:t>Identify where the data came from; retain provenance when data is transformed.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20"/>
            </w:pPr>
            <w:r>
              <w:rPr>
                <w:sz w:val="16"/>
              </w:rPr>
              <w:t>is_simulated</w:t>
            </w:r>
          </w:p>
        </w:tc>
        <w:tc>
          <w:tcPr>
            <w:tcW w:type="dxa" w:w="5040"/>
            <w:vAlign w:val="top"/>
          </w:tcPr>
          <w:p>
            <w:pPr>
              <w:spacing w:after="20"/>
            </w:pPr>
            <w:r>
              <w:rPr>
                <w:sz w:val="16"/>
              </w:rPr>
              <w:t>Boolean required for simulated/replay records and propagated to derived records where relevant.</w:t>
            </w:r>
          </w:p>
        </w:tc>
      </w:tr>
      <w:tr>
        <w:tc>
          <w:tcPr>
            <w:tcW w:type="dxa" w:w="5040"/>
            <w:vAlign w:val="top"/>
            <w:shd w:fill="F4F7F9"/>
          </w:tcPr>
          <w:p>
            <w:pPr>
              <w:spacing w:after="20"/>
            </w:pPr>
            <w:r>
              <w:rPr>
                <w:sz w:val="16"/>
              </w:rPr>
              <w:t>status</w:t>
            </w:r>
          </w:p>
        </w:tc>
        <w:tc>
          <w:tcPr>
            <w:tcW w:type="dxa" w:w="5040"/>
            <w:vAlign w:val="top"/>
            <w:shd w:fill="F4F7F9"/>
          </w:tcPr>
          <w:p>
            <w:pPr>
              <w:spacing w:after="20"/>
            </w:pPr>
            <w:r>
              <w:rPr>
                <w:sz w:val="16"/>
              </w:rPr>
              <w:t>Use a documented enum and state-transition rules; do not invent free-text variants.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20"/>
            </w:pPr>
            <w:r>
              <w:rPr>
                <w:sz w:val="16"/>
              </w:rPr>
              <w:t>confidence / uncertainty</w:t>
            </w:r>
          </w:p>
        </w:tc>
        <w:tc>
          <w:tcPr>
            <w:tcW w:type="dxa" w:w="5040"/>
            <w:vAlign w:val="top"/>
          </w:tcPr>
          <w:p>
            <w:pPr>
              <w:spacing w:after="20"/>
            </w:pPr>
            <w:r>
              <w:rPr>
                <w:sz w:val="16"/>
              </w:rPr>
              <w:t>Optional, clearly defined and calibrated where possible; never present as verified probability without validation.</w:t>
            </w:r>
          </w:p>
        </w:tc>
      </w:tr>
      <w:tr>
        <w:tc>
          <w:tcPr>
            <w:tcW w:type="dxa" w:w="5040"/>
            <w:vAlign w:val="top"/>
            <w:shd w:fill="F4F7F9"/>
          </w:tcPr>
          <w:p>
            <w:pPr>
              <w:spacing w:after="20"/>
            </w:pPr>
            <w:r>
              <w:rPr>
                <w:sz w:val="16"/>
              </w:rPr>
              <w:t>request_id / event_id</w:t>
            </w:r>
          </w:p>
        </w:tc>
        <w:tc>
          <w:tcPr>
            <w:tcW w:type="dxa" w:w="5040"/>
            <w:vAlign w:val="top"/>
            <w:shd w:fill="F4F7F9"/>
          </w:tcPr>
          <w:p>
            <w:pPr>
              <w:spacing w:after="20"/>
            </w:pPr>
            <w:r>
              <w:rPr>
                <w:sz w:val="16"/>
              </w:rPr>
              <w:t>Use for tracing, deduplication, and debugging across API and n8n logs.</w:t>
            </w:r>
          </w:p>
        </w:tc>
      </w:tr>
    </w:tbl>
    <w:p/>
    <w:p>
      <w:pPr>
        <w:pStyle w:val="Heading1"/>
      </w:pPr>
      <w:r>
        <w:t>7. Critical invariants</w:t>
      </w:r>
    </w:p>
    <w:p>
      <w:pPr>
        <w:pStyle w:val="ListBullet"/>
        <w:spacing w:after="40"/>
      </w:pPr>
      <w:r>
        <w:t>Evacuate alerts require explicit officer approval and must never be auto-sent. A reminder/escalation does not count as approval.</w:t>
      </w:r>
    </w:p>
    <w:p>
      <w:pPr>
        <w:pStyle w:val="ListBullet"/>
        <w:spacing w:after="40"/>
      </w:pPr>
      <w:r>
        <w:t>Warning/Danger auto-delivery is permitted only if the existing approved guardrails pass and the team has verified the rule in tests.</w:t>
      </w:r>
    </w:p>
    <w:p>
      <w:pPr>
        <w:pStyle w:val="ListBullet"/>
        <w:spacing w:after="40"/>
      </w:pPr>
      <w:r>
        <w:t>A 'need help' acknowledgement triggers the agreed immediate escalation behavior; preserve all replies and keep the latest reply as the current state where that is the agreed rule.</w:t>
      </w:r>
    </w:p>
    <w:p>
      <w:pPr>
        <w:pStyle w:val="ListBullet"/>
        <w:spacing w:after="40"/>
      </w:pPr>
      <w:r>
        <w:t>Task acceptance must be atomic so two users cannot both claim the same task.</w:t>
      </w:r>
    </w:p>
    <w:p>
      <w:pPr>
        <w:pStyle w:val="ListBullet"/>
        <w:spacing w:after="40"/>
      </w:pPr>
      <w:r>
        <w:t>R2 conversations do not directly change risk. Only verified R4 photo reports may contribute to fusion under the agreed rules.</w:t>
      </w:r>
    </w:p>
    <w:p>
      <w:pPr>
        <w:pStyle w:val="ListBullet"/>
        <w:spacing w:after="40"/>
      </w:pPr>
      <w:r>
        <w:t>NASA GPM IMERG is a precipitation input, not a flood-event label. Do not claim predictive ML accuracy without trustworthy labels and leakage-safe evaluation.</w:t>
      </w:r>
    </w:p>
    <w:p>
      <w:pPr>
        <w:pStyle w:val="ListBullet"/>
        <w:spacing w:after="40"/>
      </w:pPr>
      <w:r>
        <w:t>Simulated records are always marked is_simulated. Reset operations must affect only simulated records.</w:t>
      </w:r>
    </w:p>
    <w:p>
      <w:pPr>
        <w:pStyle w:val="ListBullet"/>
        <w:spacing w:after="40"/>
      </w:pPr>
      <w:r>
        <w:t>Simulated alerts go to test recipients only unless ALLOW_SIM_DELIVERY=true is explicitly configured; default is false.</w:t>
      </w:r>
    </w:p>
    <w:p>
      <w:pPr>
        <w:pStyle w:val="ListBullet"/>
        <w:spacing w:after="40"/>
      </w:pPr>
      <w:r>
        <w:t>AI output is advisory unless an explicitly approved workflow says otherwise. AI must not bypass role checks or alert approval.</w:t>
      </w:r>
    </w:p>
    <w:p>
      <w:pPr>
        <w:pStyle w:val="Heading1"/>
      </w:pPr>
      <w:r>
        <w:t>8. Definition of integration-ready</w:t>
      </w:r>
    </w:p>
    <w:p>
      <w:pPr>
        <w:pStyle w:val="ListBullet"/>
        <w:spacing w:after="40"/>
      </w:pPr>
      <w:r>
        <w:t>Endpoint/workflow owner, path/name, method/trigger, auth, schema, and error behavior are written down.</w:t>
      </w:r>
    </w:p>
    <w:p>
      <w:pPr>
        <w:pStyle w:val="ListBullet"/>
        <w:spacing w:after="40"/>
      </w:pPr>
      <w:r>
        <w:t>At least one realistic example request and response exists.</w:t>
      </w:r>
    </w:p>
    <w:p>
      <w:pPr>
        <w:pStyle w:val="ListBullet"/>
        <w:spacing w:after="40"/>
      </w:pPr>
      <w:r>
        <w:t>A failing/unauthorized/stale-data case is documented.</w:t>
      </w:r>
    </w:p>
    <w:p>
      <w:pPr>
        <w:pStyle w:val="ListBullet"/>
        <w:spacing w:after="40"/>
      </w:pPr>
      <w:r>
        <w:t>A local test or automated test verifies the contract.</w:t>
      </w:r>
    </w:p>
    <w:p>
      <w:pPr>
        <w:pStyle w:val="ListBullet"/>
        <w:spacing w:after="40"/>
      </w:pPr>
      <w:r>
        <w:t>The owner marks it IMPLEMENTED; another module owner verifies it before marking VERIFIED.</w:t>
      </w:r>
    </w:p>
    <w:p>
      <w:pPr>
        <w:pStyle w:val="Heading1"/>
      </w:pPr>
      <w:r>
        <w:t>9. Decision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2304A"/>
          </w:tcPr>
          <w:p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2520"/>
            <w:shd w:fill="12304A"/>
          </w:tcPr>
          <w:p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520"/>
            <w:shd w:fill="12304A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520"/>
            <w:shd w:fill="12304A"/>
          </w:tcPr>
          <w:p>
            <w:r>
              <w:rPr>
                <w:b/>
                <w:color w:val="FFFFFF"/>
                <w:sz w:val="17"/>
              </w:rPr>
              <w:t>Evidence / notes</w:t>
            </w:r>
          </w:p>
        </w:tc>
      </w:tr>
      <w:tr>
        <w:tc>
          <w:tcPr>
            <w:tcW w:type="dxa" w:w="2520"/>
            <w:vAlign w:val="top"/>
            <w:shd w:fill="F4F7F9"/>
          </w:tcPr>
          <w:p>
            <w:pPr>
              <w:spacing w:after="20"/>
            </w:pPr>
            <w:r>
              <w:rPr>
                <w:sz w:val="16"/>
              </w:rPr>
              <w:t>Confirm API envelope and naming conventions</w:t>
            </w:r>
          </w:p>
        </w:tc>
        <w:tc>
          <w:tcPr>
            <w:tcW w:type="dxa" w:w="2520"/>
            <w:vAlign w:val="top"/>
            <w:shd w:fill="F4F7F9"/>
          </w:tcPr>
          <w:p>
            <w:pPr>
              <w:spacing w:after="20"/>
            </w:pPr>
            <w:r>
              <w:rPr>
                <w:sz w:val="16"/>
              </w:rPr>
              <w:t>Bagul + all</w:t>
            </w:r>
          </w:p>
        </w:tc>
        <w:tc>
          <w:tcPr>
            <w:tcW w:type="dxa" w:w="2520"/>
            <w:vAlign w:val="top"/>
            <w:shd w:fill="F4F7F9"/>
          </w:tcPr>
          <w:p>
            <w:pPr>
              <w:spacing w:after="20"/>
            </w:pPr>
            <w:r>
              <w:rPr>
                <w:sz w:val="16"/>
              </w:rPr>
              <w:t>PROPOSED</w:t>
            </w:r>
          </w:p>
        </w:tc>
        <w:tc>
          <w:tcPr>
            <w:tcW w:type="dxa" w:w="2520"/>
            <w:vAlign w:val="top"/>
            <w:shd w:fill="F4F7F9"/>
          </w:tcPr>
          <w:p>
            <w:pPr>
              <w:spacing w:after="20"/>
            </w:pPr>
            <w:r>
              <w:rPr>
                <w:sz w:val="16"/>
              </w:rPr>
              <w:t>Record final decision here.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20"/>
            </w:pPr>
            <w:r>
              <w:rPr>
                <w:sz w:val="16"/>
              </w:rPr>
              <w:t>Confirm auth provider and role model</w:t>
            </w:r>
          </w:p>
        </w:tc>
        <w:tc>
          <w:tcPr>
            <w:tcW w:type="dxa" w:w="2520"/>
            <w:vAlign w:val="top"/>
          </w:tcPr>
          <w:p>
            <w:pPr>
              <w:spacing w:after="20"/>
            </w:pPr>
            <w:r>
              <w:rPr>
                <w:sz w:val="16"/>
              </w:rPr>
              <w:t>Bagul</w:t>
            </w:r>
          </w:p>
        </w:tc>
        <w:tc>
          <w:tcPr>
            <w:tcW w:type="dxa" w:w="2520"/>
            <w:vAlign w:val="top"/>
          </w:tcPr>
          <w:p>
            <w:pPr>
              <w:spacing w:after="20"/>
            </w:pPr>
            <w:r>
              <w:rPr>
                <w:sz w:val="16"/>
              </w:rPr>
              <w:t>PROPOSED</w:t>
            </w:r>
          </w:p>
        </w:tc>
        <w:tc>
          <w:tcPr>
            <w:tcW w:type="dxa" w:w="2520"/>
            <w:vAlign w:val="top"/>
          </w:tcPr>
          <w:p>
            <w:pPr>
              <w:spacing w:after="20"/>
            </w:pPr>
            <w:r>
              <w:rPr>
                <w:sz w:val="16"/>
              </w:rPr>
              <w:t>Must be decided before protected writes.</w:t>
            </w:r>
          </w:p>
        </w:tc>
      </w:tr>
      <w:tr>
        <w:tc>
          <w:tcPr>
            <w:tcW w:type="dxa" w:w="2520"/>
            <w:vAlign w:val="top"/>
            <w:shd w:fill="F4F7F9"/>
          </w:tcPr>
          <w:p>
            <w:pPr>
              <w:spacing w:after="20"/>
            </w:pPr>
            <w:r>
              <w:rPr>
                <w:sz w:val="16"/>
              </w:rPr>
              <w:t>Confirm endpoint inventory and payload schemas</w:t>
            </w:r>
          </w:p>
        </w:tc>
        <w:tc>
          <w:tcPr>
            <w:tcW w:type="dxa" w:w="2520"/>
            <w:vAlign w:val="top"/>
            <w:shd w:fill="F4F7F9"/>
          </w:tcPr>
          <w:p>
            <w:pPr>
              <w:spacing w:after="20"/>
            </w:pPr>
            <w:r>
              <w:rPr>
                <w:sz w:val="16"/>
              </w:rPr>
              <w:t>Bagul + module owners</w:t>
            </w:r>
          </w:p>
        </w:tc>
        <w:tc>
          <w:tcPr>
            <w:tcW w:type="dxa" w:w="2520"/>
            <w:vAlign w:val="top"/>
            <w:shd w:fill="F4F7F9"/>
          </w:tcPr>
          <w:p>
            <w:pPr>
              <w:spacing w:after="20"/>
            </w:pPr>
            <w:r>
              <w:rPr>
                <w:sz w:val="16"/>
              </w:rPr>
              <w:t>PROPOSED</w:t>
            </w:r>
          </w:p>
        </w:tc>
        <w:tc>
          <w:tcPr>
            <w:tcW w:type="dxa" w:w="2520"/>
            <w:vAlign w:val="top"/>
            <w:shd w:fill="F4F7F9"/>
          </w:tcPr>
          <w:p>
            <w:pPr>
              <w:spacing w:after="20"/>
            </w:pPr>
            <w:r>
              <w:rPr>
                <w:sz w:val="16"/>
              </w:rPr>
              <w:t>Add examples and tests.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20"/>
            </w:pPr>
            <w:r>
              <w:rPr>
                <w:sz w:val="16"/>
              </w:rPr>
              <w:t>Confirm realtime subscriptions</w:t>
            </w:r>
          </w:p>
        </w:tc>
        <w:tc>
          <w:tcPr>
            <w:tcW w:type="dxa" w:w="2520"/>
            <w:vAlign w:val="top"/>
          </w:tcPr>
          <w:p>
            <w:pPr>
              <w:spacing w:after="20"/>
            </w:pPr>
            <w:r>
              <w:rPr>
                <w:sz w:val="16"/>
              </w:rPr>
              <w:t>Bagul + Svi</w:t>
            </w:r>
          </w:p>
        </w:tc>
        <w:tc>
          <w:tcPr>
            <w:tcW w:type="dxa" w:w="2520"/>
            <w:vAlign w:val="top"/>
          </w:tcPr>
          <w:p>
            <w:pPr>
              <w:spacing w:after="20"/>
            </w:pPr>
            <w:r>
              <w:rPr>
                <w:sz w:val="16"/>
              </w:rPr>
              <w:t>PROPOSED</w:t>
            </w:r>
          </w:p>
        </w:tc>
        <w:tc>
          <w:tcPr>
            <w:tcW w:type="dxa" w:w="2520"/>
            <w:vAlign w:val="top"/>
          </w:tcPr>
          <w:p>
            <w:pPr>
              <w:spacing w:after="20"/>
            </w:pPr>
            <w:r>
              <w:rPr>
                <w:sz w:val="16"/>
              </w:rPr>
              <w:t>Include reconnect behavior.</w:t>
            </w:r>
          </w:p>
        </w:tc>
      </w:tr>
      <w:tr>
        <w:tc>
          <w:tcPr>
            <w:tcW w:type="dxa" w:w="2520"/>
            <w:vAlign w:val="top"/>
            <w:shd w:fill="F4F7F9"/>
          </w:tcPr>
          <w:p>
            <w:pPr>
              <w:spacing w:after="20"/>
            </w:pPr>
            <w:r>
              <w:rPr>
                <w:sz w:val="16"/>
              </w:rPr>
              <w:t>Confirm workflow trigger/payload contracts</w:t>
            </w:r>
          </w:p>
        </w:tc>
        <w:tc>
          <w:tcPr>
            <w:tcW w:type="dxa" w:w="2520"/>
            <w:vAlign w:val="top"/>
            <w:shd w:fill="F4F7F9"/>
          </w:tcPr>
          <w:p>
            <w:pPr>
              <w:spacing w:after="20"/>
            </w:pPr>
            <w:r>
              <w:rPr>
                <w:sz w:val="16"/>
              </w:rPr>
              <w:t>Rathod + Bagul</w:t>
            </w:r>
          </w:p>
        </w:tc>
        <w:tc>
          <w:tcPr>
            <w:tcW w:type="dxa" w:w="2520"/>
            <w:vAlign w:val="top"/>
            <w:shd w:fill="F4F7F9"/>
          </w:tcPr>
          <w:p>
            <w:pPr>
              <w:spacing w:after="20"/>
            </w:pPr>
            <w:r>
              <w:rPr>
                <w:sz w:val="16"/>
              </w:rPr>
              <w:t>PROPOSED</w:t>
            </w:r>
          </w:p>
        </w:tc>
        <w:tc>
          <w:tcPr>
            <w:tcW w:type="dxa" w:w="2520"/>
            <w:vAlign w:val="top"/>
            <w:shd w:fill="F4F7F9"/>
          </w:tcPr>
          <w:p>
            <w:pPr>
              <w:spacing w:after="20"/>
            </w:pPr>
            <w:r>
              <w:rPr>
                <w:sz w:val="16"/>
              </w:rPr>
              <w:t>Include idempotency and retry rules.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20"/>
            </w:pPr>
            <w:r>
              <w:rPr>
                <w:sz w:val="16"/>
              </w:rPr>
              <w:t>Confirm AI response schemas and timeouts</w:t>
            </w:r>
          </w:p>
        </w:tc>
        <w:tc>
          <w:tcPr>
            <w:tcW w:type="dxa" w:w="2520"/>
            <w:vAlign w:val="top"/>
          </w:tcPr>
          <w:p>
            <w:pPr>
              <w:spacing w:after="20"/>
            </w:pPr>
            <w:r>
              <w:rPr>
                <w:sz w:val="16"/>
              </w:rPr>
              <w:t>Purvika + Bagul</w:t>
            </w:r>
          </w:p>
        </w:tc>
        <w:tc>
          <w:tcPr>
            <w:tcW w:type="dxa" w:w="2520"/>
            <w:vAlign w:val="top"/>
          </w:tcPr>
          <w:p>
            <w:pPr>
              <w:spacing w:after="20"/>
            </w:pPr>
            <w:r>
              <w:rPr>
                <w:sz w:val="16"/>
              </w:rPr>
              <w:t>PROPOSED</w:t>
            </w:r>
          </w:p>
        </w:tc>
        <w:tc>
          <w:tcPr>
            <w:tcW w:type="dxa" w:w="2520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 structured outputs.</w:t>
            </w:r>
          </w:p>
        </w:tc>
      </w:tr>
    </w:tbl>
    <w:p/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830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