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448CD" w14:textId="77777777" w:rsidR="0024323A" w:rsidRPr="00140C18" w:rsidRDefault="0024323A" w:rsidP="0024323A">
      <w:pPr>
        <w:jc w:val="center"/>
      </w:pPr>
    </w:p>
    <w:p w14:paraId="6D16F22C" w14:textId="77777777" w:rsidR="0024323A" w:rsidRPr="00140C18" w:rsidRDefault="0024323A" w:rsidP="0024323A">
      <w:pPr>
        <w:jc w:val="center"/>
      </w:pPr>
    </w:p>
    <w:p w14:paraId="0D981573" w14:textId="77777777" w:rsidR="0024323A" w:rsidRPr="00140C18" w:rsidRDefault="0024323A" w:rsidP="0024323A">
      <w:pPr>
        <w:jc w:val="center"/>
      </w:pPr>
    </w:p>
    <w:p w14:paraId="6DA654A0" w14:textId="11F56107" w:rsidR="001118DF" w:rsidRPr="00140C18" w:rsidRDefault="00C91DA5" w:rsidP="0024323A">
      <w:pPr>
        <w:jc w:val="center"/>
      </w:pPr>
      <w:r w:rsidRPr="00140C18">
        <w:t>EDPRAC 751</w:t>
      </w:r>
      <w:r w:rsidR="001118DF" w:rsidRPr="00140C18">
        <w:t xml:space="preserve"> – Assignment 1</w:t>
      </w:r>
    </w:p>
    <w:p w14:paraId="69E1959B" w14:textId="77777777" w:rsidR="0024323A" w:rsidRPr="00140C18" w:rsidRDefault="001118DF" w:rsidP="0024323A">
      <w:pPr>
        <w:jc w:val="center"/>
      </w:pPr>
      <w:r w:rsidRPr="00140C18">
        <w:t>Critical Evaluation of a Practitioner Research Report</w:t>
      </w:r>
    </w:p>
    <w:p w14:paraId="0241B230" w14:textId="3726E30F" w:rsidR="00D038FF" w:rsidRPr="00140C18" w:rsidRDefault="00D558EF" w:rsidP="0024323A">
      <w:pPr>
        <w:jc w:val="center"/>
      </w:pPr>
      <w:r w:rsidRPr="00140C18">
        <w:t>Trent M. Fasavalu</w:t>
      </w:r>
    </w:p>
    <w:p w14:paraId="2535AB76" w14:textId="77777777" w:rsidR="00D038FF" w:rsidRPr="00140C18" w:rsidRDefault="00D038FF">
      <w:pPr>
        <w:spacing w:line="240" w:lineRule="auto"/>
        <w:rPr>
          <w:rFonts w:eastAsia="Times New Roman"/>
          <w:lang w:val="en-GB" w:eastAsia="en-GB"/>
        </w:rPr>
      </w:pPr>
      <w:r w:rsidRPr="00140C18">
        <w:br w:type="page"/>
      </w:r>
    </w:p>
    <w:p w14:paraId="1E5A93A6" w14:textId="77777777" w:rsidR="002F7D79" w:rsidRPr="00140C18" w:rsidRDefault="002F7D79" w:rsidP="001118DF">
      <w:pPr>
        <w:pStyle w:val="Heading1"/>
      </w:pPr>
      <w:r w:rsidRPr="00140C18">
        <w:lastRenderedPageBreak/>
        <w:t>Introduction</w:t>
      </w:r>
    </w:p>
    <w:p w14:paraId="055D5FD6" w14:textId="5F4698D6" w:rsidR="00E84ABF" w:rsidRPr="00140C18" w:rsidRDefault="00E84ABF" w:rsidP="001118DF">
      <w:pPr>
        <w:rPr>
          <w:color w:val="00B0F0"/>
        </w:rPr>
      </w:pPr>
      <w:r w:rsidRPr="00140C18">
        <w:rPr>
          <w:color w:val="00B0F0"/>
        </w:rPr>
        <w:t>The article “Differentiating Instruction to Increase Conceptual Understanding and Engagement in Mathematics” by Mainini and Banes (2017)</w:t>
      </w:r>
      <w:r w:rsidR="00DD4F8F" w:rsidRPr="00140C18">
        <w:rPr>
          <w:color w:val="00B0F0"/>
        </w:rPr>
        <w:t xml:space="preserve"> </w:t>
      </w:r>
      <w:r w:rsidR="00660EFA" w:rsidRPr="00140C18">
        <w:rPr>
          <w:color w:val="00B0F0"/>
        </w:rPr>
        <w:t>investigates</w:t>
      </w:r>
      <w:r w:rsidR="00DD4F8F" w:rsidRPr="00140C18">
        <w:rPr>
          <w:color w:val="00B0F0"/>
        </w:rPr>
        <w:t xml:space="preserve"> the impact of two interventions in an attempt to address an underlying issue of</w:t>
      </w:r>
      <w:r w:rsidR="00831034" w:rsidRPr="00140C18">
        <w:rPr>
          <w:color w:val="00B0F0"/>
        </w:rPr>
        <w:t xml:space="preserve"> teaching students </w:t>
      </w:r>
      <w:r w:rsidR="003072BF" w:rsidRPr="00140C18">
        <w:rPr>
          <w:color w:val="00B0F0"/>
        </w:rPr>
        <w:t xml:space="preserve">mathematical concepts </w:t>
      </w:r>
      <w:r w:rsidR="00831034" w:rsidRPr="00140C18">
        <w:rPr>
          <w:color w:val="00B0F0"/>
        </w:rPr>
        <w:t>with</w:t>
      </w:r>
      <w:r w:rsidR="00DD4F8F" w:rsidRPr="00140C18">
        <w:rPr>
          <w:color w:val="00B0F0"/>
        </w:rPr>
        <w:t xml:space="preserve"> </w:t>
      </w:r>
      <w:r w:rsidR="00831034" w:rsidRPr="00140C18">
        <w:rPr>
          <w:color w:val="00B0F0"/>
        </w:rPr>
        <w:t>disperse learning needs</w:t>
      </w:r>
      <w:r w:rsidR="00E44216" w:rsidRPr="00140C18">
        <w:rPr>
          <w:color w:val="00B0F0"/>
        </w:rPr>
        <w:t>.</w:t>
      </w:r>
      <w:r w:rsidR="00DD4F8F" w:rsidRPr="00140C18">
        <w:rPr>
          <w:color w:val="00B0F0"/>
        </w:rPr>
        <w:t xml:space="preserve"> Mainini, a </w:t>
      </w:r>
      <w:r w:rsidR="00831034" w:rsidRPr="00140C18">
        <w:rPr>
          <w:color w:val="00B0F0"/>
        </w:rPr>
        <w:t>beginning</w:t>
      </w:r>
      <w:r w:rsidR="00CA576F" w:rsidRPr="00140C18">
        <w:rPr>
          <w:color w:val="00B0F0"/>
        </w:rPr>
        <w:t xml:space="preserve"> </w:t>
      </w:r>
      <w:r w:rsidR="00DD4F8F" w:rsidRPr="00140C18">
        <w:rPr>
          <w:color w:val="00B0F0"/>
        </w:rPr>
        <w:t>teacher</w:t>
      </w:r>
      <w:r w:rsidR="00831034" w:rsidRPr="00140C18">
        <w:rPr>
          <w:color w:val="00B0F0"/>
        </w:rPr>
        <w:t xml:space="preserve"> at Edwin Markham Elementary (2016), </w:t>
      </w:r>
      <w:r w:rsidR="00791953" w:rsidRPr="00140C18">
        <w:rPr>
          <w:color w:val="00B0F0"/>
        </w:rPr>
        <w:t>implements (1) flexible small groups and (2) Low Floor High Ceiling</w:t>
      </w:r>
      <w:r w:rsidR="00667DE1" w:rsidRPr="00140C18">
        <w:rPr>
          <w:color w:val="00B0F0"/>
        </w:rPr>
        <w:t xml:space="preserve"> [LFHC]</w:t>
      </w:r>
      <w:r w:rsidR="00791953" w:rsidRPr="00140C18">
        <w:rPr>
          <w:color w:val="00B0F0"/>
        </w:rPr>
        <w:t xml:space="preserve"> problems </w:t>
      </w:r>
      <w:r w:rsidR="002A5D46" w:rsidRPr="00140C18">
        <w:rPr>
          <w:color w:val="00B0F0"/>
        </w:rPr>
        <w:t>in her sixth-</w:t>
      </w:r>
      <w:r w:rsidR="00315767" w:rsidRPr="00140C18">
        <w:rPr>
          <w:color w:val="00B0F0"/>
        </w:rPr>
        <w:t>grade maths</w:t>
      </w:r>
      <w:r w:rsidR="002A5D46" w:rsidRPr="00140C18">
        <w:rPr>
          <w:color w:val="00B0F0"/>
        </w:rPr>
        <w:t xml:space="preserve"> class</w:t>
      </w:r>
      <w:r w:rsidR="00182927" w:rsidRPr="00140C18">
        <w:rPr>
          <w:color w:val="00B0F0"/>
        </w:rPr>
        <w:t xml:space="preserve"> and</w:t>
      </w:r>
      <w:r w:rsidR="00C8209D" w:rsidRPr="00140C18">
        <w:rPr>
          <w:color w:val="00B0F0"/>
        </w:rPr>
        <w:t>, after data analysis,</w:t>
      </w:r>
      <w:r w:rsidR="00182927" w:rsidRPr="00140C18">
        <w:rPr>
          <w:color w:val="00B0F0"/>
        </w:rPr>
        <w:t xml:space="preserve"> contests to their effectiveness</w:t>
      </w:r>
      <w:r w:rsidR="002A5D46" w:rsidRPr="00140C18">
        <w:rPr>
          <w:color w:val="00B0F0"/>
        </w:rPr>
        <w:t>.</w:t>
      </w:r>
      <w:r w:rsidR="000C52A6" w:rsidRPr="00140C18">
        <w:rPr>
          <w:color w:val="00B0F0"/>
        </w:rPr>
        <w:t xml:space="preserve"> This paper will critique </w:t>
      </w:r>
      <w:r w:rsidR="006E7FD8" w:rsidRPr="00140C18">
        <w:rPr>
          <w:color w:val="00B0F0"/>
        </w:rPr>
        <w:t xml:space="preserve">the </w:t>
      </w:r>
      <w:r w:rsidR="000C52A6" w:rsidRPr="00140C18">
        <w:rPr>
          <w:color w:val="00B0F0"/>
        </w:rPr>
        <w:t xml:space="preserve">(1) positionality, (2) research questions, (3) methods, (4) analysis and (5) ethics from </w:t>
      </w:r>
      <w:r w:rsidR="00071C99" w:rsidRPr="00140C18">
        <w:rPr>
          <w:color w:val="00B0F0"/>
        </w:rPr>
        <w:t>Mainini and Bane</w:t>
      </w:r>
      <w:r w:rsidR="00660EFA" w:rsidRPr="00140C18">
        <w:rPr>
          <w:color w:val="00B0F0"/>
        </w:rPr>
        <w:t>s</w:t>
      </w:r>
      <w:r w:rsidR="00071C99" w:rsidRPr="00140C18">
        <w:rPr>
          <w:color w:val="00B0F0"/>
        </w:rPr>
        <w:t>’</w:t>
      </w:r>
      <w:r w:rsidR="00660EFA" w:rsidRPr="00140C18">
        <w:rPr>
          <w:color w:val="00B0F0"/>
        </w:rPr>
        <w:t xml:space="preserve"> practitioner research. Additionally, the strengths, drawbacks, and issues </w:t>
      </w:r>
      <w:r w:rsidR="00C8209D" w:rsidRPr="00140C18">
        <w:rPr>
          <w:color w:val="00B0F0"/>
        </w:rPr>
        <w:t xml:space="preserve">her research </w:t>
      </w:r>
      <w:r w:rsidR="00660EFA" w:rsidRPr="00140C18">
        <w:rPr>
          <w:color w:val="00B0F0"/>
        </w:rPr>
        <w:t>will also be explored.</w:t>
      </w:r>
    </w:p>
    <w:p w14:paraId="6BABC8C6" w14:textId="180ECFC7" w:rsidR="005E3FB1" w:rsidRPr="00140C18" w:rsidRDefault="00140C18" w:rsidP="005E3FB1">
      <w:pPr>
        <w:pStyle w:val="Heading1"/>
      </w:pPr>
      <w:r>
        <w:t>Practitioner Research</w:t>
      </w:r>
    </w:p>
    <w:p w14:paraId="5890B718" w14:textId="78E2136D" w:rsidR="009154D1" w:rsidRPr="00081BB9" w:rsidRDefault="00CB493A" w:rsidP="00ED0065">
      <w:pPr>
        <w:ind w:firstLine="720"/>
        <w:rPr>
          <w:color w:val="00B0F0"/>
        </w:rPr>
      </w:pPr>
      <w:r w:rsidRPr="00081BB9">
        <w:rPr>
          <w:color w:val="00B0F0"/>
        </w:rPr>
        <w:t>A benefit of p</w:t>
      </w:r>
      <w:r w:rsidR="003F67A8" w:rsidRPr="00081BB9">
        <w:rPr>
          <w:color w:val="00B0F0"/>
        </w:rPr>
        <w:t>ractitioner research</w:t>
      </w:r>
      <w:r w:rsidRPr="00081BB9">
        <w:rPr>
          <w:color w:val="00B0F0"/>
        </w:rPr>
        <w:t xml:space="preserve"> is that it</w:t>
      </w:r>
      <w:r w:rsidR="003F67A8" w:rsidRPr="00081BB9">
        <w:rPr>
          <w:color w:val="00B0F0"/>
        </w:rPr>
        <w:t xml:space="preserve"> provides unique insight into the teaching profession</w:t>
      </w:r>
      <w:r w:rsidR="008C4384" w:rsidRPr="00081BB9">
        <w:rPr>
          <w:color w:val="00B0F0"/>
        </w:rPr>
        <w:t xml:space="preserve"> and</w:t>
      </w:r>
      <w:r w:rsidR="008C4384" w:rsidRPr="00081BB9">
        <w:rPr>
          <w:color w:val="00B0F0"/>
        </w:rPr>
        <w:t xml:space="preserve"> pushes the boundaries of what qualifi</w:t>
      </w:r>
      <w:r w:rsidR="008C4384" w:rsidRPr="00081BB9">
        <w:rPr>
          <w:color w:val="00B0F0"/>
        </w:rPr>
        <w:t>es as research (Anderson, 1994)</w:t>
      </w:r>
      <w:r w:rsidR="003F67A8" w:rsidRPr="00081BB9">
        <w:rPr>
          <w:color w:val="00B0F0"/>
        </w:rPr>
        <w:t xml:space="preserve">. </w:t>
      </w:r>
      <w:r w:rsidR="001530FF" w:rsidRPr="00081BB9">
        <w:rPr>
          <w:color w:val="00B0F0"/>
        </w:rPr>
        <w:t>T</w:t>
      </w:r>
      <w:r w:rsidR="00901CF5" w:rsidRPr="00081BB9">
        <w:rPr>
          <w:color w:val="00B0F0"/>
        </w:rPr>
        <w:t xml:space="preserve">he </w:t>
      </w:r>
      <w:r w:rsidR="00901CF5" w:rsidRPr="00081BB9">
        <w:rPr>
          <w:color w:val="00B0F0"/>
        </w:rPr>
        <w:t>classroom</w:t>
      </w:r>
      <w:r w:rsidR="00901CF5" w:rsidRPr="00081BB9">
        <w:rPr>
          <w:color w:val="00B0F0"/>
        </w:rPr>
        <w:t xml:space="preserve"> is</w:t>
      </w:r>
      <w:r w:rsidR="00901CF5" w:rsidRPr="00081BB9">
        <w:rPr>
          <w:color w:val="00B0F0"/>
        </w:rPr>
        <w:t xml:space="preserve"> a</w:t>
      </w:r>
      <w:r w:rsidR="00901CF5" w:rsidRPr="00081BB9">
        <w:rPr>
          <w:color w:val="00B0F0"/>
        </w:rPr>
        <w:t xml:space="preserve"> personal, contextual, subjective and relational </w:t>
      </w:r>
      <w:r w:rsidR="00901CF5" w:rsidRPr="00081BB9">
        <w:rPr>
          <w:color w:val="00B0F0"/>
        </w:rPr>
        <w:t>domain (</w:t>
      </w:r>
      <w:r w:rsidR="009154D1" w:rsidRPr="00081BB9">
        <w:rPr>
          <w:color w:val="00B0F0"/>
        </w:rPr>
        <w:t>Herr &amp; Anderson, 2005</w:t>
      </w:r>
      <w:r w:rsidR="00901CF5" w:rsidRPr="00081BB9">
        <w:rPr>
          <w:color w:val="00B0F0"/>
        </w:rPr>
        <w:t>)</w:t>
      </w:r>
      <w:r w:rsidR="009154D1" w:rsidRPr="00081BB9">
        <w:rPr>
          <w:color w:val="00B0F0"/>
        </w:rPr>
        <w:t>.</w:t>
      </w:r>
      <w:r w:rsidR="00901CF5" w:rsidRPr="00081BB9">
        <w:rPr>
          <w:color w:val="00B0F0"/>
        </w:rPr>
        <w:t xml:space="preserve"> </w:t>
      </w:r>
      <w:r w:rsidR="00140C18" w:rsidRPr="00081BB9">
        <w:rPr>
          <w:color w:val="00B0F0"/>
        </w:rPr>
        <w:t>Only p</w:t>
      </w:r>
      <w:r w:rsidR="00E41759" w:rsidRPr="00081BB9">
        <w:rPr>
          <w:color w:val="00B0F0"/>
        </w:rPr>
        <w:t>ractitioner</w:t>
      </w:r>
      <w:r w:rsidR="00901CF5" w:rsidRPr="00081BB9">
        <w:rPr>
          <w:color w:val="00B0F0"/>
        </w:rPr>
        <w:t xml:space="preserve"> research</w:t>
      </w:r>
      <w:r w:rsidR="009154D1" w:rsidRPr="00081BB9">
        <w:rPr>
          <w:color w:val="00B0F0"/>
        </w:rPr>
        <w:t xml:space="preserve"> </w:t>
      </w:r>
      <w:r w:rsidR="00E41759" w:rsidRPr="00081BB9">
        <w:rPr>
          <w:color w:val="00B0F0"/>
        </w:rPr>
        <w:t xml:space="preserve">is able to capture an otherwise unavailable knowledge </w:t>
      </w:r>
      <w:r w:rsidR="00457AAB" w:rsidRPr="00081BB9">
        <w:rPr>
          <w:color w:val="00B0F0"/>
        </w:rPr>
        <w:t xml:space="preserve">base by </w:t>
      </w:r>
      <w:r w:rsidR="00E41759" w:rsidRPr="00081BB9">
        <w:rPr>
          <w:color w:val="00B0F0"/>
        </w:rPr>
        <w:t xml:space="preserve">identifying </w:t>
      </w:r>
      <w:r w:rsidR="00457AAB" w:rsidRPr="00081BB9">
        <w:rPr>
          <w:color w:val="00B0F0"/>
        </w:rPr>
        <w:t xml:space="preserve">(1) </w:t>
      </w:r>
      <w:r w:rsidR="00E41759" w:rsidRPr="00081BB9">
        <w:rPr>
          <w:color w:val="00B0F0"/>
        </w:rPr>
        <w:t>the</w:t>
      </w:r>
      <w:r w:rsidR="00901CF5" w:rsidRPr="00081BB9">
        <w:rPr>
          <w:color w:val="00B0F0"/>
        </w:rPr>
        <w:t xml:space="preserve"> beliefs of </w:t>
      </w:r>
      <w:r w:rsidR="0047332C" w:rsidRPr="00081BB9">
        <w:rPr>
          <w:color w:val="00B0F0"/>
        </w:rPr>
        <w:t>teachers</w:t>
      </w:r>
      <w:r w:rsidR="00901CF5" w:rsidRPr="00081BB9">
        <w:rPr>
          <w:color w:val="00B0F0"/>
        </w:rPr>
        <w:t xml:space="preserve"> </w:t>
      </w:r>
      <w:r w:rsidR="00145320" w:rsidRPr="00081BB9">
        <w:rPr>
          <w:color w:val="00B0F0"/>
        </w:rPr>
        <w:t xml:space="preserve">and </w:t>
      </w:r>
      <w:r w:rsidR="00457AAB" w:rsidRPr="00081BB9">
        <w:rPr>
          <w:color w:val="00B0F0"/>
        </w:rPr>
        <w:t xml:space="preserve">(2) </w:t>
      </w:r>
      <w:r w:rsidR="00145320" w:rsidRPr="00081BB9">
        <w:rPr>
          <w:color w:val="00B0F0"/>
        </w:rPr>
        <w:t xml:space="preserve">how </w:t>
      </w:r>
      <w:r w:rsidR="0047332C" w:rsidRPr="00081BB9">
        <w:rPr>
          <w:color w:val="00B0F0"/>
        </w:rPr>
        <w:t>they have adapted traditional</w:t>
      </w:r>
      <w:r w:rsidR="00145320" w:rsidRPr="00081BB9">
        <w:rPr>
          <w:color w:val="00B0F0"/>
        </w:rPr>
        <w:t xml:space="preserve"> methods to their own context</w:t>
      </w:r>
      <w:r w:rsidR="00457AAB" w:rsidRPr="00081BB9">
        <w:rPr>
          <w:color w:val="00B0F0"/>
        </w:rPr>
        <w:t xml:space="preserve"> (Herr &amp; Anderson, 2005)</w:t>
      </w:r>
      <w:r w:rsidR="00145320" w:rsidRPr="00081BB9">
        <w:rPr>
          <w:color w:val="00B0F0"/>
        </w:rPr>
        <w:t>.</w:t>
      </w:r>
    </w:p>
    <w:p w14:paraId="4E22B464" w14:textId="337531A5" w:rsidR="00FF1D07" w:rsidRPr="00140C18" w:rsidRDefault="001530FF" w:rsidP="00E3697D">
      <w:pPr>
        <w:ind w:firstLine="720"/>
      </w:pPr>
      <w:r w:rsidRPr="00EA524D">
        <w:rPr>
          <w:color w:val="00B0F0"/>
          <w:highlight w:val="yellow"/>
          <w:lang w:val="en-US"/>
        </w:rPr>
        <w:t>The greatest strength of Maini</w:t>
      </w:r>
      <w:r w:rsidR="00FF1D07" w:rsidRPr="00EA524D">
        <w:rPr>
          <w:color w:val="00B0F0"/>
          <w:highlight w:val="yellow"/>
          <w:lang w:val="en-US"/>
        </w:rPr>
        <w:t>ni</w:t>
      </w:r>
      <w:r w:rsidRPr="00EA524D">
        <w:rPr>
          <w:color w:val="00B0F0"/>
          <w:highlight w:val="yellow"/>
          <w:lang w:val="en-US"/>
        </w:rPr>
        <w:t xml:space="preserve"> and Banes’ (2017) practitioner research is that they were able to resolve a real-world issue.</w:t>
      </w:r>
      <w:r w:rsidR="00FF1D07" w:rsidRPr="00EA524D">
        <w:rPr>
          <w:color w:val="00B0F0"/>
          <w:lang w:val="en-US"/>
        </w:rPr>
        <w:t xml:space="preserve"> Through </w:t>
      </w:r>
      <w:r w:rsidR="00FF1D07" w:rsidRPr="00EA524D">
        <w:rPr>
          <w:color w:val="00B0F0"/>
        </w:rPr>
        <w:t>s</w:t>
      </w:r>
      <w:r w:rsidR="00FF1D07" w:rsidRPr="00EA524D">
        <w:rPr>
          <w:color w:val="00B0F0"/>
        </w:rPr>
        <w:t xml:space="preserve">ystematic and intentional </w:t>
      </w:r>
      <w:r w:rsidR="00B244F5" w:rsidRPr="00EA524D">
        <w:rPr>
          <w:color w:val="00B0F0"/>
        </w:rPr>
        <w:t>interventions</w:t>
      </w:r>
      <w:r w:rsidR="00FF1D07" w:rsidRPr="00EA524D">
        <w:rPr>
          <w:color w:val="00B0F0"/>
          <w:lang w:val="en-US"/>
        </w:rPr>
        <w:t xml:space="preserve">, </w:t>
      </w:r>
      <w:r w:rsidR="00EA524D">
        <w:rPr>
          <w:color w:val="00B0F0"/>
          <w:lang w:val="en-US"/>
        </w:rPr>
        <w:t>they have resolved the inquiry</w:t>
      </w:r>
      <w:r w:rsidR="00FF1D07" w:rsidRPr="00EA524D">
        <w:rPr>
          <w:color w:val="00B0F0"/>
          <w:lang w:val="en-US"/>
        </w:rPr>
        <w:t xml:space="preserve"> issue of meeting the diverse needs of students </w:t>
      </w:r>
      <w:r w:rsidR="00EA524D">
        <w:rPr>
          <w:color w:val="00B0F0"/>
          <w:lang w:val="en-US"/>
        </w:rPr>
        <w:t xml:space="preserve">for success </w:t>
      </w:r>
      <w:r w:rsidR="00743272" w:rsidRPr="00EA524D">
        <w:rPr>
          <w:color w:val="00B0F0"/>
          <w:lang w:val="en-US"/>
        </w:rPr>
        <w:t>(</w:t>
      </w:r>
      <w:r w:rsidR="00743272" w:rsidRPr="00EA524D">
        <w:rPr>
          <w:color w:val="00B0F0"/>
          <w:highlight w:val="yellow"/>
          <w:lang w:val="en-US"/>
        </w:rPr>
        <w:t xml:space="preserve">Mainini </w:t>
      </w:r>
      <w:r w:rsidR="00743272" w:rsidRPr="00EA524D">
        <w:rPr>
          <w:color w:val="00B0F0"/>
          <w:highlight w:val="yellow"/>
          <w:lang w:val="en-US"/>
        </w:rPr>
        <w:t>&amp;</w:t>
      </w:r>
      <w:r w:rsidR="00743272" w:rsidRPr="00EA524D">
        <w:rPr>
          <w:color w:val="00B0F0"/>
          <w:highlight w:val="yellow"/>
          <w:lang w:val="en-US"/>
        </w:rPr>
        <w:t xml:space="preserve"> Banes</w:t>
      </w:r>
      <w:r w:rsidR="00743272" w:rsidRPr="00EA524D">
        <w:rPr>
          <w:color w:val="00B0F0"/>
          <w:highlight w:val="yellow"/>
          <w:lang w:val="en-US"/>
        </w:rPr>
        <w:t xml:space="preserve">, </w:t>
      </w:r>
      <w:r w:rsidR="00743272" w:rsidRPr="00EA524D">
        <w:rPr>
          <w:color w:val="00B0F0"/>
          <w:highlight w:val="yellow"/>
          <w:lang w:val="en-US"/>
        </w:rPr>
        <w:t>2017</w:t>
      </w:r>
      <w:r w:rsidR="00743272" w:rsidRPr="00EA524D">
        <w:rPr>
          <w:color w:val="00B0F0"/>
          <w:lang w:val="en-US"/>
        </w:rPr>
        <w:t>)</w:t>
      </w:r>
      <w:r w:rsidR="00FF1D07" w:rsidRPr="00EA524D">
        <w:rPr>
          <w:color w:val="00B0F0"/>
          <w:lang w:val="en-US"/>
        </w:rPr>
        <w:t xml:space="preserve">. </w:t>
      </w:r>
      <w:r w:rsidR="00E3697D" w:rsidRPr="00EA524D">
        <w:rPr>
          <w:color w:val="00B0F0"/>
        </w:rPr>
        <w:t xml:space="preserve">The study is persistently focused on the </w:t>
      </w:r>
      <w:r w:rsidR="00DC3745">
        <w:rPr>
          <w:color w:val="00B0F0"/>
        </w:rPr>
        <w:t xml:space="preserve">interventions, sometimes </w:t>
      </w:r>
      <w:bookmarkStart w:id="0" w:name="_GoBack"/>
      <w:bookmarkEnd w:id="0"/>
      <w:r w:rsidR="00E3697D" w:rsidRPr="00EA524D">
        <w:rPr>
          <w:color w:val="00B0F0"/>
        </w:rPr>
        <w:t>at the cost of</w:t>
      </w:r>
      <w:r w:rsidR="00CB3002" w:rsidRPr="00EA524D">
        <w:rPr>
          <w:color w:val="00B0F0"/>
        </w:rPr>
        <w:t xml:space="preserve"> self-reflection</w:t>
      </w:r>
      <w:r w:rsidR="00E3697D" w:rsidRPr="00EA524D">
        <w:rPr>
          <w:color w:val="00B0F0"/>
        </w:rPr>
        <w:t>, an alleged</w:t>
      </w:r>
      <w:r w:rsidR="00CB3002" w:rsidRPr="00EA524D">
        <w:rPr>
          <w:color w:val="00B0F0"/>
        </w:rPr>
        <w:t xml:space="preserve"> hallmark of good practitioner research (</w:t>
      </w:r>
      <w:r w:rsidR="009154D1" w:rsidRPr="00EA524D">
        <w:rPr>
          <w:color w:val="00B0F0"/>
        </w:rPr>
        <w:t>Herr &amp; Anderson, 2005</w:t>
      </w:r>
      <w:r w:rsidR="00CB3002" w:rsidRPr="00EA524D">
        <w:rPr>
          <w:color w:val="00B0F0"/>
        </w:rPr>
        <w:t>)</w:t>
      </w:r>
      <w:r w:rsidR="00545F31" w:rsidRPr="00EA524D">
        <w:rPr>
          <w:color w:val="00B0F0"/>
        </w:rPr>
        <w:t xml:space="preserve"> and indicator of positionality</w:t>
      </w:r>
      <w:r w:rsidR="00CB3002" w:rsidRPr="00140C18">
        <w:t>.</w:t>
      </w:r>
      <w:r w:rsidR="00CB3002" w:rsidRPr="00140C18">
        <w:t xml:space="preserve"> </w:t>
      </w:r>
    </w:p>
    <w:p w14:paraId="24B71536" w14:textId="2B939E2B" w:rsidR="00E44216" w:rsidRPr="00140C18" w:rsidRDefault="00E44216" w:rsidP="001118DF">
      <w:pPr>
        <w:pStyle w:val="Heading1"/>
      </w:pPr>
      <w:r w:rsidRPr="00140C18">
        <w:lastRenderedPageBreak/>
        <w:t>Positionality</w:t>
      </w:r>
    </w:p>
    <w:p w14:paraId="3131BCE6" w14:textId="3449BE14" w:rsidR="00C367D1" w:rsidRPr="00140C18" w:rsidRDefault="00F749D3" w:rsidP="00C91F01">
      <w:r w:rsidRPr="00140C18">
        <w:tab/>
      </w:r>
      <w:r w:rsidR="007F1BDF" w:rsidRPr="00140C18">
        <w:t>Positionality influences how one determines the criteria for research (</w:t>
      </w:r>
      <w:r w:rsidR="009154D1" w:rsidRPr="00140C18">
        <w:t>Herr &amp; Anderson, 2005</w:t>
      </w:r>
      <w:r w:rsidR="00C91F01" w:rsidRPr="00140C18">
        <w:t>) and is a point of contention for this study.</w:t>
      </w:r>
      <w:r w:rsidR="00A41E80" w:rsidRPr="00140C18">
        <w:t xml:space="preserve"> </w:t>
      </w:r>
      <w:r w:rsidR="0017185C" w:rsidRPr="00140C18">
        <w:t>R</w:t>
      </w:r>
      <w:r w:rsidR="0017185C" w:rsidRPr="00140C18">
        <w:t>ather than provide introspection into their experiences</w:t>
      </w:r>
      <w:r w:rsidR="0017185C" w:rsidRPr="00140C18">
        <w:t>, b</w:t>
      </w:r>
      <w:r w:rsidR="00A41E80" w:rsidRPr="00140C18">
        <w:t>oth authors attempt</w:t>
      </w:r>
      <w:r w:rsidR="0017185C" w:rsidRPr="00140C18">
        <w:t xml:space="preserve"> to objectify their involvement. As this obscures their positionality, so too is the inquiry </w:t>
      </w:r>
      <w:r w:rsidR="00CC2E7E" w:rsidRPr="00140C18">
        <w:t>w</w:t>
      </w:r>
      <w:r w:rsidR="0017185C" w:rsidRPr="00140C18">
        <w:t xml:space="preserve">hich they present. </w:t>
      </w:r>
    </w:p>
    <w:p w14:paraId="529C2385" w14:textId="332EECF5" w:rsidR="00C91F01" w:rsidRPr="00140C18" w:rsidRDefault="00C91F01" w:rsidP="002035C0">
      <w:pPr>
        <w:ind w:firstLine="720"/>
      </w:pPr>
      <w:r w:rsidRPr="00140C18">
        <w:t xml:space="preserve">Banes is a post-doctoral scholar </w:t>
      </w:r>
      <w:r w:rsidR="00F32114" w:rsidRPr="00140C18">
        <w:t xml:space="preserve">and </w:t>
      </w:r>
      <w:r w:rsidR="00F32114" w:rsidRPr="00140C18">
        <w:t>course instructor</w:t>
      </w:r>
      <w:r w:rsidR="00F32114" w:rsidRPr="00140C18">
        <w:t xml:space="preserve"> to which the study was procured for. Former research focused</w:t>
      </w:r>
      <w:r w:rsidRPr="00140C18">
        <w:t xml:space="preserve"> on (1) equity in mathematics education, (2) relationships between mathematics and language, and (3) teaching and learning mathematics in two languages (Athanases, Banes, &amp; Wong, 2015)</w:t>
      </w:r>
      <w:r w:rsidR="00F32114" w:rsidRPr="00140C18">
        <w:t xml:space="preserve">. </w:t>
      </w:r>
    </w:p>
    <w:p w14:paraId="1B01734D" w14:textId="5E263EA1" w:rsidR="009115FC" w:rsidRPr="00140C18" w:rsidRDefault="00F749D3" w:rsidP="00366AAE">
      <w:pPr>
        <w:ind w:firstLine="720"/>
      </w:pPr>
      <w:r w:rsidRPr="00140C18">
        <w:t xml:space="preserve">Mainini’s positionality </w:t>
      </w:r>
      <w:r w:rsidR="008B0FE9" w:rsidRPr="00140C18">
        <w:t>is the primary author of the study</w:t>
      </w:r>
      <w:r w:rsidR="008B0FE9" w:rsidRPr="00140C18">
        <w:t xml:space="preserve"> and </w:t>
      </w:r>
      <w:r w:rsidRPr="00140C18">
        <w:t>has been defined as “the classroom teacher… in [</w:t>
      </w:r>
      <w:r w:rsidR="009D1A52" w:rsidRPr="00140C18">
        <w:t>her</w:t>
      </w:r>
      <w:r w:rsidRPr="00140C18">
        <w:t>] first year of teaching” (Mainini &amp; Banes, 2017, p. 83).</w:t>
      </w:r>
      <w:r w:rsidR="009115FC" w:rsidRPr="00140C18">
        <w:t xml:space="preserve"> Herr and </w:t>
      </w:r>
      <w:r w:rsidR="009154D1" w:rsidRPr="00140C18">
        <w:t>Anderson</w:t>
      </w:r>
      <w:r w:rsidR="009115FC" w:rsidRPr="00140C18">
        <w:t xml:space="preserve"> (2005) m</w:t>
      </w:r>
      <w:r w:rsidR="007D3B37" w:rsidRPr="00140C18">
        <w:t xml:space="preserve">ay </w:t>
      </w:r>
      <w:r w:rsidR="009115FC" w:rsidRPr="00140C18">
        <w:t>view such a positionality as an ‘outsider-within’ as she is researching her own practice, but also new to the profession</w:t>
      </w:r>
      <w:r w:rsidR="007D3B37" w:rsidRPr="00140C18">
        <w:t>.</w:t>
      </w:r>
      <w:r w:rsidR="003D0B0C" w:rsidRPr="00140C18">
        <w:t xml:space="preserve"> </w:t>
      </w:r>
      <w:r w:rsidR="00F272E1" w:rsidRPr="00140C18">
        <w:t>This</w:t>
      </w:r>
      <w:r w:rsidR="003D0B0C" w:rsidRPr="00140C18">
        <w:t xml:space="preserve"> status may skew the research process as her perception </w:t>
      </w:r>
      <w:r w:rsidR="00A203F0" w:rsidRPr="00140C18">
        <w:t xml:space="preserve">is susceptible to change </w:t>
      </w:r>
      <w:r w:rsidR="003D0B0C" w:rsidRPr="00140C18">
        <w:t>throughout the study, influencing her actions (</w:t>
      </w:r>
      <w:r w:rsidR="009154D1" w:rsidRPr="00140C18">
        <w:t>Herr &amp; Anderson, 2005</w:t>
      </w:r>
      <w:r w:rsidR="003D0B0C" w:rsidRPr="00140C18">
        <w:t>)</w:t>
      </w:r>
      <w:r w:rsidR="00B17E30" w:rsidRPr="00140C18">
        <w:t>.</w:t>
      </w:r>
      <w:r w:rsidR="00CE1526" w:rsidRPr="00140C18">
        <w:t xml:space="preserve"> </w:t>
      </w:r>
      <w:r w:rsidR="000A1D24" w:rsidRPr="00140C18">
        <w:t xml:space="preserve">An oversight </w:t>
      </w:r>
      <w:r w:rsidR="00B17E30" w:rsidRPr="00140C18">
        <w:t xml:space="preserve">not </w:t>
      </w:r>
      <w:r w:rsidR="00214628" w:rsidRPr="00140C18">
        <w:t>addressed in the study</w:t>
      </w:r>
      <w:r w:rsidR="00B17E30" w:rsidRPr="00140C18">
        <w:t xml:space="preserve"> and </w:t>
      </w:r>
      <w:r w:rsidR="000A1D24" w:rsidRPr="00140C18">
        <w:t>could have been omitted had M</w:t>
      </w:r>
      <w:r w:rsidR="00CE1526" w:rsidRPr="00140C18">
        <w:t xml:space="preserve">ainini </w:t>
      </w:r>
      <w:r w:rsidR="00342C5E" w:rsidRPr="00140C18">
        <w:t>shared</w:t>
      </w:r>
      <w:r w:rsidR="00CE1526" w:rsidRPr="00140C18">
        <w:t xml:space="preserve"> her own assumptions and practice</w:t>
      </w:r>
      <w:r w:rsidR="00D3543B" w:rsidRPr="00140C18">
        <w:t xml:space="preserve"> beliefs</w:t>
      </w:r>
      <w:r w:rsidR="00CE1526" w:rsidRPr="00140C18">
        <w:t xml:space="preserve"> (Cochran-Smith &amp; Lytle, 2009). </w:t>
      </w:r>
      <w:r w:rsidR="008F6E86" w:rsidRPr="00140C18">
        <w:t>D</w:t>
      </w:r>
      <w:r w:rsidR="00331AB0" w:rsidRPr="00140C18">
        <w:t xml:space="preserve">enial of </w:t>
      </w:r>
      <w:r w:rsidR="00E730F5" w:rsidRPr="00140C18">
        <w:t xml:space="preserve">such </w:t>
      </w:r>
      <w:r w:rsidR="00331AB0" w:rsidRPr="00140C18">
        <w:t xml:space="preserve">knowledge </w:t>
      </w:r>
      <w:r w:rsidR="00EC76EF" w:rsidRPr="00140C18">
        <w:t>indicates</w:t>
      </w:r>
      <w:r w:rsidR="008F6E86" w:rsidRPr="00140C18">
        <w:t xml:space="preserve"> </w:t>
      </w:r>
      <w:r w:rsidR="008F6E86" w:rsidRPr="00140C18">
        <w:t xml:space="preserve">the </w:t>
      </w:r>
      <w:r w:rsidR="00B75DD5" w:rsidRPr="00140C18">
        <w:t>researchers’</w:t>
      </w:r>
      <w:r w:rsidR="008F6E86" w:rsidRPr="00140C18">
        <w:t xml:space="preserve"> involvement is not seen as a contamination </w:t>
      </w:r>
      <w:r w:rsidR="00346155" w:rsidRPr="00140C18">
        <w:t>to</w:t>
      </w:r>
      <w:r w:rsidR="008F6E86" w:rsidRPr="00140C18">
        <w:t xml:space="preserve"> the setting (</w:t>
      </w:r>
      <w:r w:rsidR="009154D1" w:rsidRPr="00140C18">
        <w:t>Herr &amp; Anderson, 2005</w:t>
      </w:r>
      <w:r w:rsidR="008F6E86" w:rsidRPr="00140C18">
        <w:t>)</w:t>
      </w:r>
      <w:r w:rsidR="008F6E86" w:rsidRPr="00140C18">
        <w:t xml:space="preserve">, making it </w:t>
      </w:r>
      <w:r w:rsidR="00331AB0" w:rsidRPr="00140C18">
        <w:t>difficult to ente</w:t>
      </w:r>
      <w:r w:rsidR="003070EC" w:rsidRPr="00140C18">
        <w:t>r into the reality</w:t>
      </w:r>
      <w:r w:rsidR="008F6E86" w:rsidRPr="00140C18">
        <w:t xml:space="preserve"> which they attempt</w:t>
      </w:r>
      <w:r w:rsidR="00331AB0" w:rsidRPr="00140C18">
        <w:t xml:space="preserve"> </w:t>
      </w:r>
      <w:r w:rsidR="008F6E86" w:rsidRPr="00140C18">
        <w:t xml:space="preserve">to procure (Herr &amp; </w:t>
      </w:r>
      <w:r w:rsidR="009154D1" w:rsidRPr="00140C18">
        <w:t>Anderson, 2005</w:t>
      </w:r>
      <w:r w:rsidR="0051493F" w:rsidRPr="00140C18">
        <w:t>)</w:t>
      </w:r>
      <w:r w:rsidR="008F6E86" w:rsidRPr="00140C18">
        <w:t xml:space="preserve">. Furthermore, it </w:t>
      </w:r>
      <w:r w:rsidR="00331AB0" w:rsidRPr="00140C18">
        <w:t xml:space="preserve">suggests </w:t>
      </w:r>
      <w:r w:rsidR="008F6E86" w:rsidRPr="00140C18">
        <w:t xml:space="preserve">they </w:t>
      </w:r>
      <w:r w:rsidR="00331AB0" w:rsidRPr="00140C18">
        <w:t>have inadvertently</w:t>
      </w:r>
      <w:r w:rsidR="00437F01" w:rsidRPr="00140C18">
        <w:t xml:space="preserve"> favour</w:t>
      </w:r>
      <w:r w:rsidR="00331AB0" w:rsidRPr="00140C18">
        <w:t>ed</w:t>
      </w:r>
      <w:r w:rsidR="00437F01" w:rsidRPr="00140C18">
        <w:t xml:space="preserve"> </w:t>
      </w:r>
      <w:r w:rsidR="003963DB" w:rsidRPr="00140C18">
        <w:t xml:space="preserve">the </w:t>
      </w:r>
      <w:r w:rsidR="003D0B0C" w:rsidRPr="00140C18">
        <w:t xml:space="preserve">norms of outsider </w:t>
      </w:r>
      <w:r w:rsidR="008F6E86" w:rsidRPr="00140C18">
        <w:t xml:space="preserve">research, rather than those suitable to </w:t>
      </w:r>
      <w:r w:rsidR="0021620E" w:rsidRPr="00140C18">
        <w:t>insider</w:t>
      </w:r>
      <w:r w:rsidR="008F6E86" w:rsidRPr="00140C18">
        <w:t xml:space="preserve"> research.</w:t>
      </w:r>
    </w:p>
    <w:p w14:paraId="7A297896" w14:textId="7A504A5A" w:rsidR="004C4897" w:rsidRPr="00140C18" w:rsidRDefault="006E20E8" w:rsidP="006E20E8">
      <w:pPr>
        <w:ind w:firstLine="720"/>
      </w:pPr>
      <w:r w:rsidRPr="00140C18">
        <w:t xml:space="preserve">Mainini </w:t>
      </w:r>
      <w:r w:rsidRPr="00140C18">
        <w:t xml:space="preserve">and Bane (2017) </w:t>
      </w:r>
      <w:r w:rsidR="00FF2AD0" w:rsidRPr="00140C18">
        <w:t>have</w:t>
      </w:r>
      <w:r w:rsidRPr="00140C18">
        <w:t xml:space="preserve"> traditional beliefs about the role of a researcher</w:t>
      </w:r>
      <w:r w:rsidR="00367BD1" w:rsidRPr="00140C18">
        <w:t>. I</w:t>
      </w:r>
      <w:r w:rsidRPr="00140C18">
        <w:t xml:space="preserve">nquiring into </w:t>
      </w:r>
      <w:r w:rsidR="00367BD1" w:rsidRPr="00140C18">
        <w:t xml:space="preserve">one’s </w:t>
      </w:r>
      <w:r w:rsidRPr="00140C18">
        <w:t>own assumptions and practice</w:t>
      </w:r>
      <w:r w:rsidR="00367BD1" w:rsidRPr="00140C18">
        <w:t xml:space="preserve"> is a major component of </w:t>
      </w:r>
      <w:r w:rsidR="00A50429" w:rsidRPr="00140C18">
        <w:t>insider</w:t>
      </w:r>
      <w:r w:rsidR="00367BD1" w:rsidRPr="00140C18">
        <w:t xml:space="preserve"> research</w:t>
      </w:r>
      <w:r w:rsidR="005115A4" w:rsidRPr="00140C18">
        <w:t xml:space="preserve"> (Cochran-Smith &amp; Lytle, 2009);</w:t>
      </w:r>
      <w:r w:rsidRPr="00140C18">
        <w:t xml:space="preserve"> However, there is no record of this taking place. Tracking thoughts and feelings throughout the study </w:t>
      </w:r>
      <w:r w:rsidR="00367BD1" w:rsidRPr="00140C18">
        <w:t>can</w:t>
      </w:r>
      <w:r w:rsidRPr="00140C18">
        <w:t xml:space="preserve"> </w:t>
      </w:r>
      <w:r w:rsidR="00367BD1" w:rsidRPr="00140C18">
        <w:t>provide unique insights</w:t>
      </w:r>
      <w:r w:rsidR="00367BD1" w:rsidRPr="00140C18">
        <w:t xml:space="preserve"> (Asselin, 2003</w:t>
      </w:r>
      <w:r w:rsidR="00367BD1" w:rsidRPr="00140C18">
        <w:t>)</w:t>
      </w:r>
      <w:r w:rsidR="00E737A5" w:rsidRPr="00140C18">
        <w:t xml:space="preserve"> and </w:t>
      </w:r>
      <w:r w:rsidR="00E737A5" w:rsidRPr="00140C18">
        <w:lastRenderedPageBreak/>
        <w:t xml:space="preserve">such </w:t>
      </w:r>
      <w:r w:rsidRPr="00140C18">
        <w:t>an exclusion, discounts the teachers influence on results, as well as their potential “systematic and positive impact on pupils’ learning” (Cochran-Smith, 2004, p. 112).</w:t>
      </w:r>
    </w:p>
    <w:p w14:paraId="33E59CB7" w14:textId="06F17D69" w:rsidR="002A424E" w:rsidRPr="00140C18" w:rsidRDefault="00982112" w:rsidP="00140C18">
      <w:pPr>
        <w:ind w:firstLine="720"/>
      </w:pPr>
      <w:r w:rsidRPr="00140C18">
        <w:t xml:space="preserve">It is worth noting </w:t>
      </w:r>
      <w:r w:rsidR="007F1BDF" w:rsidRPr="00140C18">
        <w:t>Manini may be of Italian descent (Ancestry, 2018)</w:t>
      </w:r>
      <w:r w:rsidR="00BB6138" w:rsidRPr="00140C18">
        <w:t xml:space="preserve"> as r</w:t>
      </w:r>
      <w:r w:rsidR="00D71504" w:rsidRPr="00140C18">
        <w:rPr>
          <w:highlight w:val="yellow"/>
        </w:rPr>
        <w:t>esear</w:t>
      </w:r>
      <w:r w:rsidR="00086878" w:rsidRPr="00140C18">
        <w:rPr>
          <w:highlight w:val="yellow"/>
        </w:rPr>
        <w:t xml:space="preserve">ch suggests </w:t>
      </w:r>
      <w:r w:rsidR="002F73A4" w:rsidRPr="00140C18">
        <w:rPr>
          <w:highlight w:val="yellow"/>
        </w:rPr>
        <w:t xml:space="preserve">students </w:t>
      </w:r>
      <w:r w:rsidR="000438ED" w:rsidRPr="00140C18">
        <w:rPr>
          <w:highlight w:val="yellow"/>
        </w:rPr>
        <w:t>assigned</w:t>
      </w:r>
      <w:r w:rsidR="00086878" w:rsidRPr="00140C18">
        <w:rPr>
          <w:highlight w:val="yellow"/>
        </w:rPr>
        <w:t xml:space="preserve"> to a teach</w:t>
      </w:r>
      <w:r w:rsidR="00274FE6" w:rsidRPr="00140C18">
        <w:rPr>
          <w:highlight w:val="yellow"/>
        </w:rPr>
        <w:t>er</w:t>
      </w:r>
      <w:r w:rsidR="00086878" w:rsidRPr="00140C18">
        <w:rPr>
          <w:highlight w:val="yellow"/>
        </w:rPr>
        <w:t xml:space="preserve"> of </w:t>
      </w:r>
      <w:r w:rsidR="00E95EF8" w:rsidRPr="00140C18">
        <w:rPr>
          <w:highlight w:val="yellow"/>
        </w:rPr>
        <w:t xml:space="preserve">a </w:t>
      </w:r>
      <w:r w:rsidR="00086878" w:rsidRPr="00140C18">
        <w:rPr>
          <w:highlight w:val="yellow"/>
        </w:rPr>
        <w:t xml:space="preserve">different race may not </w:t>
      </w:r>
      <w:r w:rsidR="001B45E6" w:rsidRPr="00140C18">
        <w:rPr>
          <w:highlight w:val="yellow"/>
        </w:rPr>
        <w:t>increase</w:t>
      </w:r>
      <w:r w:rsidR="00086878" w:rsidRPr="00140C18">
        <w:rPr>
          <w:highlight w:val="yellow"/>
        </w:rPr>
        <w:t xml:space="preserve"> </w:t>
      </w:r>
      <w:r w:rsidR="00483CC3" w:rsidRPr="00140C18">
        <w:rPr>
          <w:highlight w:val="yellow"/>
        </w:rPr>
        <w:t>their</w:t>
      </w:r>
      <w:r w:rsidR="00086878" w:rsidRPr="00140C18">
        <w:rPr>
          <w:highlight w:val="yellow"/>
        </w:rPr>
        <w:t xml:space="preserve"> math achievement </w:t>
      </w:r>
      <w:r w:rsidR="00086878" w:rsidRPr="00140C18">
        <w:rPr>
          <w:highlight w:val="yellow"/>
        </w:rPr>
        <w:t xml:space="preserve">as much as </w:t>
      </w:r>
      <w:r w:rsidR="008D30BA" w:rsidRPr="00140C18">
        <w:rPr>
          <w:highlight w:val="yellow"/>
        </w:rPr>
        <w:t xml:space="preserve">assignment to </w:t>
      </w:r>
      <w:r w:rsidR="00086878" w:rsidRPr="00140C18">
        <w:rPr>
          <w:highlight w:val="yellow"/>
        </w:rPr>
        <w:t xml:space="preserve">an </w:t>
      </w:r>
      <w:r w:rsidR="00D71504" w:rsidRPr="00140C18">
        <w:rPr>
          <w:highlight w:val="yellow"/>
        </w:rPr>
        <w:t xml:space="preserve">own-race teacher </w:t>
      </w:r>
      <w:r w:rsidR="001B45E6" w:rsidRPr="00140C18">
        <w:rPr>
          <w:highlight w:val="yellow"/>
        </w:rPr>
        <w:t xml:space="preserve">(Dee, 2004). Additionally, </w:t>
      </w:r>
      <w:r w:rsidR="00A50776" w:rsidRPr="00140C18">
        <w:t xml:space="preserve">dimensions, such as race, matter </w:t>
      </w:r>
      <w:r w:rsidR="005E22BB" w:rsidRPr="00140C18">
        <w:t xml:space="preserve">more </w:t>
      </w:r>
      <w:r w:rsidR="00A50776" w:rsidRPr="00140C18">
        <w:t>for</w:t>
      </w:r>
      <w:r w:rsidR="005E22BB" w:rsidRPr="00140C18">
        <w:t xml:space="preserve"> student of a low socio economic status (Nye, Konstantopoulos, &amp; Hedges, 2004).</w:t>
      </w:r>
      <w:r w:rsidR="00702968" w:rsidRPr="00140C18">
        <w:t xml:space="preserve"> </w:t>
      </w:r>
      <w:r w:rsidR="00274FE6" w:rsidRPr="00140C18">
        <w:t xml:space="preserve">Perhaps such knowledge could affect the student-teacher relationship, however, this was not within the scope of the study. </w:t>
      </w:r>
    </w:p>
    <w:p w14:paraId="1DCB7381" w14:textId="644E2A5E" w:rsidR="00BE58EC" w:rsidRPr="00140C18" w:rsidRDefault="00620812" w:rsidP="005457A1">
      <w:pPr>
        <w:pStyle w:val="Heading1"/>
      </w:pPr>
      <w:r w:rsidRPr="00140C18">
        <w:t>L</w:t>
      </w:r>
      <w:r w:rsidR="00BE58EC" w:rsidRPr="00140C18">
        <w:t>iterature Review</w:t>
      </w:r>
    </w:p>
    <w:p w14:paraId="4ADA6457" w14:textId="5C6182A7" w:rsidR="00C127C4" w:rsidRPr="00140C18" w:rsidRDefault="00C3534A" w:rsidP="002403FD">
      <w:pPr>
        <w:ind w:firstLine="720"/>
      </w:pPr>
      <w:r w:rsidRPr="00140C18">
        <w:t>Mainini and Banes’ (2017) literature review may present the fallacy of incomplete evidence. </w:t>
      </w:r>
      <w:r w:rsidR="00455EAB" w:rsidRPr="00140C18">
        <w:t>Whilst some scholar</w:t>
      </w:r>
      <w:r w:rsidR="000A66B8" w:rsidRPr="00140C18">
        <w:t>s</w:t>
      </w:r>
      <w:r w:rsidR="00455EAB" w:rsidRPr="00140C18">
        <w:t xml:space="preserve"> argue that the purpose of a literature review is to provide insights into previous work (Blaxter, Hughes, &amp; Tight, 2010</w:t>
      </w:r>
      <w:r w:rsidR="004628FE" w:rsidRPr="00140C18">
        <w:t>; Creswell, 2003</w:t>
      </w:r>
      <w:r w:rsidR="00455EAB" w:rsidRPr="00140C18">
        <w:t xml:space="preserve">), </w:t>
      </w:r>
      <w:r w:rsidR="005457A1" w:rsidRPr="00140C18">
        <w:t>Mainini and Banes’ (2017)</w:t>
      </w:r>
      <w:r w:rsidR="00C13137" w:rsidRPr="00140C18">
        <w:t xml:space="preserve"> </w:t>
      </w:r>
      <w:r w:rsidR="005457A1" w:rsidRPr="00140C18">
        <w:t>acts</w:t>
      </w:r>
      <w:r w:rsidR="00C13137" w:rsidRPr="00140C18">
        <w:t xml:space="preserve"> </w:t>
      </w:r>
      <w:r w:rsidR="000A66B8" w:rsidRPr="00140C18">
        <w:t>merely</w:t>
      </w:r>
      <w:r w:rsidR="00455EAB" w:rsidRPr="00140C18">
        <w:t xml:space="preserve"> </w:t>
      </w:r>
      <w:r w:rsidR="00C13137" w:rsidRPr="00140C18">
        <w:t>a</w:t>
      </w:r>
      <w:r w:rsidR="005457A1" w:rsidRPr="00140C18">
        <w:t>s a</w:t>
      </w:r>
      <w:r w:rsidR="00C13137" w:rsidRPr="00140C18">
        <w:t xml:space="preserve"> rational for the</w:t>
      </w:r>
      <w:r w:rsidR="00973D28" w:rsidRPr="00140C18">
        <w:t xml:space="preserve">ir </w:t>
      </w:r>
      <w:r w:rsidR="008019AF" w:rsidRPr="00140C18">
        <w:t xml:space="preserve">preselected </w:t>
      </w:r>
      <w:r w:rsidR="008D7B3A" w:rsidRPr="00140C18">
        <w:t>interventions, o</w:t>
      </w:r>
      <w:r w:rsidR="009C063C" w:rsidRPr="00140C18">
        <w:t xml:space="preserve">mitting evidence contrary to their </w:t>
      </w:r>
      <w:r w:rsidR="002D5450" w:rsidRPr="00140C18">
        <w:t>own</w:t>
      </w:r>
      <w:r w:rsidR="009C063C" w:rsidRPr="00140C18">
        <w:t xml:space="preserve">. </w:t>
      </w:r>
      <w:r w:rsidR="008D7B3A" w:rsidRPr="00140C18">
        <w:t xml:space="preserve">For example, </w:t>
      </w:r>
      <w:r w:rsidR="00030F13" w:rsidRPr="00140C18">
        <w:t xml:space="preserve">40 percent of students in </w:t>
      </w:r>
      <w:r w:rsidR="00030F13" w:rsidRPr="00140C18">
        <w:t xml:space="preserve">Hallam, Ireson, Mortimore, </w:t>
      </w:r>
      <w:r w:rsidR="00030F13" w:rsidRPr="00140C18">
        <w:t xml:space="preserve">and Davies </w:t>
      </w:r>
      <w:r w:rsidR="00030F13" w:rsidRPr="00140C18">
        <w:t>(2000)</w:t>
      </w:r>
      <w:r w:rsidR="00030F13" w:rsidRPr="00140C18">
        <w:t xml:space="preserve"> </w:t>
      </w:r>
      <w:r w:rsidR="00D045C4" w:rsidRPr="00140C18">
        <w:t xml:space="preserve">study </w:t>
      </w:r>
      <w:r w:rsidR="00030F13" w:rsidRPr="00140C18">
        <w:t>had experienced or witnessed teasin</w:t>
      </w:r>
      <w:r w:rsidR="002F697C" w:rsidRPr="00140C18">
        <w:t>g related to grouping practices or academic ability. Even though Mainini and Bane</w:t>
      </w:r>
      <w:r w:rsidR="004D10E3" w:rsidRPr="00140C18">
        <w:t>s</w:t>
      </w:r>
      <w:r w:rsidR="002F697C" w:rsidRPr="00140C18">
        <w:t xml:space="preserve"> (2017)</w:t>
      </w:r>
      <w:r w:rsidR="00A5286A" w:rsidRPr="00140C18">
        <w:t xml:space="preserve"> w</w:t>
      </w:r>
      <w:r w:rsidR="002F697C" w:rsidRPr="00140C18">
        <w:t>ere aware of</w:t>
      </w:r>
      <w:r w:rsidR="002C25BC" w:rsidRPr="00140C18">
        <w:t xml:space="preserve"> the risks in implementing ability groups, </w:t>
      </w:r>
      <w:r w:rsidR="002F697C" w:rsidRPr="00140C18">
        <w:t>by referencing</w:t>
      </w:r>
      <w:r w:rsidR="00F026D7" w:rsidRPr="00140C18">
        <w:t xml:space="preserve"> </w:t>
      </w:r>
      <w:r w:rsidR="00A5286A" w:rsidRPr="00140C18">
        <w:t xml:space="preserve">the </w:t>
      </w:r>
      <w:r w:rsidR="00F026D7" w:rsidRPr="00140C18">
        <w:t>aforementioned</w:t>
      </w:r>
      <w:r w:rsidR="00A5286A" w:rsidRPr="00140C18">
        <w:t xml:space="preserve"> </w:t>
      </w:r>
      <w:r w:rsidR="00C34A76" w:rsidRPr="00140C18">
        <w:t xml:space="preserve">study </w:t>
      </w:r>
      <w:r w:rsidR="00A5286A" w:rsidRPr="00140C18">
        <w:t>in their own</w:t>
      </w:r>
      <w:r w:rsidR="002C25BC" w:rsidRPr="00140C18">
        <w:t>,</w:t>
      </w:r>
      <w:r w:rsidR="00DD0045" w:rsidRPr="00140C18">
        <w:t xml:space="preserve"> </w:t>
      </w:r>
      <w:r w:rsidR="00091B32" w:rsidRPr="00140C18">
        <w:t>the risks</w:t>
      </w:r>
      <w:r w:rsidR="00706C33" w:rsidRPr="00140C18">
        <w:t xml:space="preserve"> are</w:t>
      </w:r>
      <w:r w:rsidR="00450B4D" w:rsidRPr="00140C18">
        <w:t xml:space="preserve"> neither mentioned nor </w:t>
      </w:r>
      <w:r w:rsidR="00C34A76" w:rsidRPr="00140C18">
        <w:t>contested</w:t>
      </w:r>
      <w:r w:rsidR="006E598C" w:rsidRPr="00140C18">
        <w:t>;</w:t>
      </w:r>
      <w:r w:rsidR="005359A6" w:rsidRPr="00140C18">
        <w:t xml:space="preserve"> </w:t>
      </w:r>
      <w:r w:rsidR="00757C77" w:rsidRPr="00140C18">
        <w:t>Cas</w:t>
      </w:r>
      <w:r w:rsidR="00E4302E" w:rsidRPr="00140C18">
        <w:t>t</w:t>
      </w:r>
      <w:r w:rsidR="00757C77" w:rsidRPr="00140C18">
        <w:t>ing doubt on the</w:t>
      </w:r>
      <w:r w:rsidR="0028764C" w:rsidRPr="00140C18">
        <w:t xml:space="preserve">ir </w:t>
      </w:r>
      <w:r w:rsidR="00757C77" w:rsidRPr="00140C18">
        <w:t>m</w:t>
      </w:r>
      <w:r w:rsidR="005359A6" w:rsidRPr="00140C18">
        <w:t>oral integrity</w:t>
      </w:r>
      <w:r w:rsidR="00941805" w:rsidRPr="00140C18">
        <w:t>.</w:t>
      </w:r>
    </w:p>
    <w:p w14:paraId="41593682" w14:textId="59DEAA5D" w:rsidR="00822516" w:rsidRPr="00140C18" w:rsidRDefault="009C1185" w:rsidP="002954AC">
      <w:pPr>
        <w:ind w:firstLine="720"/>
      </w:pPr>
      <w:r w:rsidRPr="00140C18">
        <w:t>Rather than identifying the phenomenon (Health &amp; Cowly, 2004), M</w:t>
      </w:r>
      <w:r w:rsidR="00450043" w:rsidRPr="00140C18">
        <w:t>ainini and Banes (2017)</w:t>
      </w:r>
      <w:r w:rsidRPr="00140C18">
        <w:t xml:space="preserve"> simply attempt to measure </w:t>
      </w:r>
      <w:r w:rsidR="00450043" w:rsidRPr="00140C18">
        <w:t>the impact, of their interventions, on it</w:t>
      </w:r>
      <w:r w:rsidRPr="00140C18">
        <w:t xml:space="preserve">. </w:t>
      </w:r>
      <w:r w:rsidR="00C127C4" w:rsidRPr="00140C18">
        <w:t xml:space="preserve">The narrow scope of </w:t>
      </w:r>
      <w:r w:rsidR="00C127C4" w:rsidRPr="00140C18">
        <w:t xml:space="preserve">Mainini and Banes research questions, to two specific interventions, has nullified any opportunity for discovering or testing competing </w:t>
      </w:r>
      <w:r w:rsidR="002403FD" w:rsidRPr="00140C18">
        <w:t>practices</w:t>
      </w:r>
      <w:r w:rsidR="00C127C4" w:rsidRPr="00140C18">
        <w:t xml:space="preserve">. </w:t>
      </w:r>
      <w:r w:rsidR="002403FD" w:rsidRPr="00140C18">
        <w:t xml:space="preserve">To </w:t>
      </w:r>
      <w:r w:rsidR="006D687C" w:rsidRPr="00140C18">
        <w:t xml:space="preserve">the </w:t>
      </w:r>
      <w:r w:rsidR="002403FD" w:rsidRPr="00140C18">
        <w:t xml:space="preserve">benefit of </w:t>
      </w:r>
      <w:r w:rsidR="00EF30E2" w:rsidRPr="00140C18">
        <w:t>their</w:t>
      </w:r>
      <w:r w:rsidR="002403FD" w:rsidRPr="00140C18">
        <w:t xml:space="preserve"> study,</w:t>
      </w:r>
      <w:r w:rsidR="00EF30E2" w:rsidRPr="00140C18">
        <w:t xml:space="preserve"> </w:t>
      </w:r>
      <w:r w:rsidR="006D687C" w:rsidRPr="00140C18">
        <w:t>this approach has</w:t>
      </w:r>
      <w:r w:rsidR="00EF30E2" w:rsidRPr="00140C18">
        <w:t xml:space="preserve"> provided</w:t>
      </w:r>
      <w:r w:rsidR="00FE71A2" w:rsidRPr="00140C18">
        <w:t xml:space="preserve"> consistency and</w:t>
      </w:r>
      <w:r w:rsidR="00EF30E2" w:rsidRPr="00140C18">
        <w:t xml:space="preserve"> focus throughout the study</w:t>
      </w:r>
      <w:r w:rsidR="00CF55E5" w:rsidRPr="00140C18">
        <w:t>.</w:t>
      </w:r>
    </w:p>
    <w:p w14:paraId="377AA9D9" w14:textId="639C897C" w:rsidR="00E25BCA" w:rsidRPr="00140C18" w:rsidRDefault="002954AC" w:rsidP="002954AC">
      <w:pPr>
        <w:pStyle w:val="Heading1"/>
      </w:pPr>
      <w:r w:rsidRPr="00140C18">
        <w:t>Research Questions</w:t>
      </w:r>
      <w:r w:rsidR="00E25BCA" w:rsidRPr="00140C18">
        <w:t xml:space="preserve"> </w:t>
      </w:r>
    </w:p>
    <w:p w14:paraId="5AA5EF30" w14:textId="55212416" w:rsidR="00914B04" w:rsidRPr="00140C18" w:rsidRDefault="00071C99" w:rsidP="00914B04">
      <w:pPr>
        <w:ind w:firstLine="720"/>
      </w:pPr>
      <w:r w:rsidRPr="00140C18">
        <w:lastRenderedPageBreak/>
        <w:t>The</w:t>
      </w:r>
      <w:r w:rsidR="00B51072" w:rsidRPr="00140C18">
        <w:t xml:space="preserve"> two</w:t>
      </w:r>
      <w:r w:rsidRPr="00140C18">
        <w:t xml:space="preserve"> research questions are aligned </w:t>
      </w:r>
      <w:r w:rsidR="00F6548A" w:rsidRPr="00140C18">
        <w:t xml:space="preserve">to </w:t>
      </w:r>
      <w:r w:rsidR="00D461AA" w:rsidRPr="00140C18">
        <w:t xml:space="preserve">the </w:t>
      </w:r>
      <w:r w:rsidR="00F6548A" w:rsidRPr="00140C18">
        <w:t>intervention</w:t>
      </w:r>
      <w:r w:rsidR="00D11F8C" w:rsidRPr="00140C18">
        <w:t>s</w:t>
      </w:r>
      <w:r w:rsidR="00B51072" w:rsidRPr="00140C18">
        <w:t xml:space="preserve"> and the studies methods.</w:t>
      </w:r>
      <w:r w:rsidR="00F6548A" w:rsidRPr="00140C18">
        <w:t xml:space="preserve"> </w:t>
      </w:r>
      <w:r w:rsidR="00B51072" w:rsidRPr="00140C18">
        <w:t>B</w:t>
      </w:r>
      <w:r w:rsidR="00F6548A" w:rsidRPr="00140C18">
        <w:t xml:space="preserve">oth </w:t>
      </w:r>
      <w:r w:rsidR="00D11F8C" w:rsidRPr="00140C18">
        <w:t>ask</w:t>
      </w:r>
      <w:r w:rsidR="00F6548A" w:rsidRPr="00140C18">
        <w:t xml:space="preserve"> “how [each intervention] impacts the conceptual understanding and behavioural engagement of students with differing needs?”</w:t>
      </w:r>
      <w:r w:rsidR="00434565" w:rsidRPr="00140C18">
        <w:t xml:space="preserve"> </w:t>
      </w:r>
      <w:r w:rsidR="00D11F8C" w:rsidRPr="00140C18">
        <w:t>One concern is that by e</w:t>
      </w:r>
      <w:r w:rsidR="009B065F" w:rsidRPr="00140C18">
        <w:t>xamining only</w:t>
      </w:r>
      <w:r w:rsidR="00B16EC4" w:rsidRPr="00140C18">
        <w:t xml:space="preserve"> the</w:t>
      </w:r>
      <w:r w:rsidR="00434565" w:rsidRPr="00140C18">
        <w:t xml:space="preserve"> relationship of (1) flexible, small groups and (2) LFHC </w:t>
      </w:r>
      <w:r w:rsidR="0059273D" w:rsidRPr="00140C18">
        <w:t>problems on</w:t>
      </w:r>
      <w:r w:rsidR="00B16EC4" w:rsidRPr="00140C18">
        <w:t xml:space="preserve"> </w:t>
      </w:r>
      <w:r w:rsidR="0065740C" w:rsidRPr="00140C18">
        <w:t>students</w:t>
      </w:r>
      <w:r w:rsidR="00434565" w:rsidRPr="00140C18">
        <w:t xml:space="preserve"> </w:t>
      </w:r>
      <w:r w:rsidR="00B16EC4" w:rsidRPr="00140C18">
        <w:t xml:space="preserve">in a multivariate study </w:t>
      </w:r>
      <w:r w:rsidR="00326346" w:rsidRPr="00140C18">
        <w:t>may lead</w:t>
      </w:r>
      <w:r w:rsidR="00B16EC4" w:rsidRPr="00140C18">
        <w:t xml:space="preserve"> to </w:t>
      </w:r>
      <w:r w:rsidR="00B54306" w:rsidRPr="00140C18">
        <w:t>bias interpretation</w:t>
      </w:r>
      <w:r w:rsidR="00C7731F" w:rsidRPr="00140C18">
        <w:t xml:space="preserve">, as </w:t>
      </w:r>
      <w:r w:rsidR="003D2D8B" w:rsidRPr="00140C18">
        <w:t>authors</w:t>
      </w:r>
      <w:r w:rsidR="00C7731F" w:rsidRPr="00140C18">
        <w:t xml:space="preserve"> </w:t>
      </w:r>
      <w:r w:rsidR="0050542F" w:rsidRPr="00140C18">
        <w:t xml:space="preserve">attribute results to </w:t>
      </w:r>
      <w:r w:rsidR="00C7731F" w:rsidRPr="00140C18">
        <w:t>their preselected interventions</w:t>
      </w:r>
      <w:r w:rsidR="0050542F" w:rsidRPr="00140C18">
        <w:t xml:space="preserve">, </w:t>
      </w:r>
      <w:r w:rsidR="000D131F" w:rsidRPr="00140C18">
        <w:t>rather than those unmentioned</w:t>
      </w:r>
      <w:r w:rsidR="00AC501F" w:rsidRPr="00140C18">
        <w:t xml:space="preserve"> (i.e. teach</w:t>
      </w:r>
      <w:r w:rsidR="002B5E20" w:rsidRPr="00140C18">
        <w:t xml:space="preserve">er </w:t>
      </w:r>
      <w:r w:rsidR="005B7634" w:rsidRPr="00140C18">
        <w:t>competence</w:t>
      </w:r>
      <w:r w:rsidR="00B36E14" w:rsidRPr="00140C18">
        <w:t>, observer effect,</w:t>
      </w:r>
      <w:r w:rsidR="00BA24AF" w:rsidRPr="00140C18">
        <w:t xml:space="preserve"> or </w:t>
      </w:r>
      <w:r w:rsidR="002B5E20" w:rsidRPr="00140C18">
        <w:t>students improving their English</w:t>
      </w:r>
      <w:r w:rsidR="00AC501F" w:rsidRPr="00140C18">
        <w:t>)</w:t>
      </w:r>
      <w:r w:rsidR="0059273D" w:rsidRPr="00140C18">
        <w:t xml:space="preserve">. </w:t>
      </w:r>
      <w:r w:rsidR="003756C6" w:rsidRPr="00140C18">
        <w:t>The premise is n</w:t>
      </w:r>
      <w:r w:rsidR="0073524F" w:rsidRPr="00140C18">
        <w:t>ot false, but rather incomplete</w:t>
      </w:r>
      <w:r w:rsidR="00262769" w:rsidRPr="00140C18">
        <w:t>.</w:t>
      </w:r>
    </w:p>
    <w:p w14:paraId="39E02A76" w14:textId="45F6F162" w:rsidR="00731215" w:rsidRPr="00140C18" w:rsidRDefault="00844D29" w:rsidP="00914B04">
      <w:pPr>
        <w:ind w:firstLine="720"/>
      </w:pPr>
      <w:r w:rsidRPr="00140C18">
        <w:t xml:space="preserve">The questions are not without validity or application. Redirecting resources to address </w:t>
      </w:r>
      <w:r w:rsidR="00731215" w:rsidRPr="00140C18">
        <w:t xml:space="preserve">accessory </w:t>
      </w:r>
      <w:r w:rsidRPr="00140C18">
        <w:t xml:space="preserve">components of the study </w:t>
      </w:r>
      <w:r w:rsidR="00731215" w:rsidRPr="00140C18">
        <w:t>may detract from the</w:t>
      </w:r>
      <w:r w:rsidRPr="00140C18">
        <w:t xml:space="preserve"> </w:t>
      </w:r>
      <w:r w:rsidR="00731215" w:rsidRPr="00140C18">
        <w:t>aim.</w:t>
      </w:r>
      <w:r w:rsidR="00914B04" w:rsidRPr="00140C18">
        <w:t xml:space="preserve"> Thereby, the specific question can address the essential themes of the research and allow for </w:t>
      </w:r>
      <w:r w:rsidR="002077F4" w:rsidRPr="00140C18">
        <w:t xml:space="preserve">various </w:t>
      </w:r>
      <w:r w:rsidR="00914B04" w:rsidRPr="00140C18">
        <w:t>methods</w:t>
      </w:r>
      <w:r w:rsidR="002077F4" w:rsidRPr="00140C18">
        <w:t xml:space="preserve"> in answering it (Flick, 2015).</w:t>
      </w:r>
      <w:r w:rsidR="00C7731F" w:rsidRPr="00140C18">
        <w:t xml:space="preserve"> </w:t>
      </w:r>
      <w:r w:rsidR="00914B04" w:rsidRPr="00140C18">
        <w:t>Thereby, presenting an opportunity for unaddressed variables to be tested</w:t>
      </w:r>
      <w:r w:rsidR="00D56945" w:rsidRPr="00140C18">
        <w:t xml:space="preserve"> in future studies</w:t>
      </w:r>
      <w:r w:rsidR="00A13665" w:rsidRPr="00140C18">
        <w:t xml:space="preserve"> with </w:t>
      </w:r>
      <w:r w:rsidR="006304CC" w:rsidRPr="00140C18">
        <w:t>alternate</w:t>
      </w:r>
      <w:r w:rsidR="00A13665" w:rsidRPr="00140C18">
        <w:t xml:space="preserve"> methods</w:t>
      </w:r>
      <w:r w:rsidR="00914B04" w:rsidRPr="00140C18">
        <w:t>.</w:t>
      </w:r>
    </w:p>
    <w:p w14:paraId="0A9F7EC5" w14:textId="77777777" w:rsidR="000B4F2F" w:rsidRPr="00140C18" w:rsidRDefault="000B4F2F">
      <w:pPr>
        <w:spacing w:line="240" w:lineRule="auto"/>
        <w:rPr>
          <w:rFonts w:eastAsia="Times New Roman"/>
          <w:b/>
          <w:color w:val="FF0000"/>
          <w:lang w:val="en-GB" w:eastAsia="en-GB"/>
        </w:rPr>
      </w:pPr>
      <w:r w:rsidRPr="00140C18">
        <w:br w:type="page"/>
      </w:r>
    </w:p>
    <w:p w14:paraId="3D41E0CF" w14:textId="1B9051D1" w:rsidR="00D558EF" w:rsidRPr="00140C18" w:rsidRDefault="00A75EF1" w:rsidP="001118DF">
      <w:pPr>
        <w:pStyle w:val="Heading1"/>
      </w:pPr>
      <w:r w:rsidRPr="00140C18">
        <w:lastRenderedPageBreak/>
        <w:t xml:space="preserve">Research </w:t>
      </w:r>
      <w:r w:rsidR="000E1D7F" w:rsidRPr="00140C18">
        <w:t>Methods</w:t>
      </w:r>
    </w:p>
    <w:p w14:paraId="2701A45E" w14:textId="56A650A5" w:rsidR="00D17F87" w:rsidRPr="00140C18" w:rsidRDefault="000E1D7F" w:rsidP="00BC20FD">
      <w:pPr>
        <w:ind w:firstLine="720"/>
      </w:pPr>
      <w:r w:rsidRPr="00140C18">
        <w:rPr>
          <w:highlight w:val="yellow"/>
        </w:rPr>
        <w:t>The absence of random assignment and control places Mainini and Banes’ research as a quasi‐experimental design.</w:t>
      </w:r>
      <w:r w:rsidRPr="00140C18">
        <w:t xml:space="preserve"> Such a design is subject to concern as results from interventions may not be comparable to earlier </w:t>
      </w:r>
      <w:r w:rsidR="00E27088" w:rsidRPr="00140C18">
        <w:t xml:space="preserve">phases </w:t>
      </w:r>
      <w:r w:rsidR="0057582A" w:rsidRPr="00140C18">
        <w:t xml:space="preserve">or observation </w:t>
      </w:r>
      <w:r w:rsidR="00E27088" w:rsidRPr="00140C18">
        <w:t>rounds</w:t>
      </w:r>
      <w:r w:rsidR="000D3F83" w:rsidRPr="00140C18">
        <w:t>, as treatment can vary between groups</w:t>
      </w:r>
      <w:r w:rsidR="00C1088D" w:rsidRPr="00140C18">
        <w:t xml:space="preserve"> </w:t>
      </w:r>
      <w:r w:rsidR="000B4F2F" w:rsidRPr="00140C18">
        <w:t xml:space="preserve">and time-periods </w:t>
      </w:r>
      <w:r w:rsidR="00C1088D" w:rsidRPr="00140C18">
        <w:t>(Cook, 2015)</w:t>
      </w:r>
      <w:r w:rsidR="0057582A" w:rsidRPr="00140C18">
        <w:t>.</w:t>
      </w:r>
      <w:r w:rsidRPr="00140C18">
        <w:t xml:space="preserve"> For example, the upward-trending quiz scores (Mainini &amp; Banes, 2017, p. 93)</w:t>
      </w:r>
      <w:r w:rsidR="00642568" w:rsidRPr="00140C18">
        <w:t xml:space="preserve"> may be the result of </w:t>
      </w:r>
      <w:r w:rsidR="005960D7" w:rsidRPr="00140C18">
        <w:t>the teacher targeting focus students</w:t>
      </w:r>
      <w:r w:rsidR="00D17F87" w:rsidRPr="00140C18">
        <w:t xml:space="preserve"> rather than the intervention</w:t>
      </w:r>
      <w:r w:rsidRPr="00140C18">
        <w:t>.</w:t>
      </w:r>
      <w:r w:rsidR="00BC20FD" w:rsidRPr="00140C18">
        <w:t xml:space="preserve"> </w:t>
      </w:r>
      <w:r w:rsidR="00BC20FD" w:rsidRPr="00140C18">
        <w:t>Without the disclosure of personal b</w:t>
      </w:r>
      <w:r w:rsidR="00BC20FD" w:rsidRPr="00140C18">
        <w:t>eliefs, it is impossible to</w:t>
      </w:r>
      <w:r w:rsidR="00BC20FD" w:rsidRPr="00140C18">
        <w:t xml:space="preserve"> identify and discern their influence on the data (Asselin, 2003).</w:t>
      </w:r>
      <w:r w:rsidR="00BC20FD" w:rsidRPr="00140C18">
        <w:t xml:space="preserve"> </w:t>
      </w:r>
      <w:r w:rsidR="00011254" w:rsidRPr="00140C18">
        <w:rPr>
          <w:highlight w:val="yellow"/>
        </w:rPr>
        <w:t>As with other self-studies, validation is based on trustworthiness (Vanassche &amp; Kelchtermans, 2015).</w:t>
      </w:r>
      <w:r w:rsidR="00011254" w:rsidRPr="00140C18">
        <w:t xml:space="preserve"> </w:t>
      </w:r>
    </w:p>
    <w:p w14:paraId="780B45DD" w14:textId="11D8A0F4" w:rsidR="00E75297" w:rsidRPr="00140C18" w:rsidRDefault="000E1D7F" w:rsidP="00BC20FD">
      <w:pPr>
        <w:ind w:firstLine="720"/>
      </w:pPr>
      <w:r w:rsidRPr="00140C18">
        <w:t xml:space="preserve">A strength of practitioner inquiry is the multitude of data sources (Cochran-Smith &amp; Lytle, 2009), capable of confirming and disconfirming one another. </w:t>
      </w:r>
      <w:r w:rsidR="0065003F" w:rsidRPr="00140C18">
        <w:t xml:space="preserve">Mainini and Banes (2016) have successfully collated interview, quiz, </w:t>
      </w:r>
      <w:r w:rsidR="00CA011A" w:rsidRPr="00140C18">
        <w:t>observational, and historical data</w:t>
      </w:r>
      <w:r w:rsidR="00717444" w:rsidRPr="00140C18">
        <w:t xml:space="preserve"> in this study</w:t>
      </w:r>
      <w:r w:rsidR="00A13665" w:rsidRPr="00140C18">
        <w:t xml:space="preserve">. </w:t>
      </w:r>
      <w:r w:rsidR="007472DA" w:rsidRPr="00140C18">
        <w:t>P</w:t>
      </w:r>
      <w:r w:rsidR="007472DA" w:rsidRPr="00140C18">
        <w:rPr>
          <w:highlight w:val="yellow"/>
        </w:rPr>
        <w:t xml:space="preserve">luralistic </w:t>
      </w:r>
      <w:r w:rsidR="000B4F2F" w:rsidRPr="00140C18">
        <w:rPr>
          <w:highlight w:val="yellow"/>
        </w:rPr>
        <w:t>methods</w:t>
      </w:r>
      <w:r w:rsidR="007472DA" w:rsidRPr="00140C18">
        <w:rPr>
          <w:highlight w:val="yellow"/>
        </w:rPr>
        <w:t xml:space="preserve"> aid in</w:t>
      </w:r>
      <w:r w:rsidR="007472DA" w:rsidRPr="00140C18">
        <w:rPr>
          <w:highlight w:val="yellow"/>
        </w:rPr>
        <w:t xml:space="preserve"> improv</w:t>
      </w:r>
      <w:r w:rsidR="007472DA" w:rsidRPr="00140C18">
        <w:rPr>
          <w:highlight w:val="yellow"/>
        </w:rPr>
        <w:t xml:space="preserve">ing practice </w:t>
      </w:r>
      <w:r w:rsidR="000B4F2F" w:rsidRPr="00140C18">
        <w:rPr>
          <w:highlight w:val="yellow"/>
        </w:rPr>
        <w:t>(Borko, Liston, &amp; Whitcomb, 2007)</w:t>
      </w:r>
      <w:r w:rsidR="007472DA" w:rsidRPr="00140C18">
        <w:rPr>
          <w:highlight w:val="yellow"/>
        </w:rPr>
        <w:t xml:space="preserve"> and the researchers have been able to view the phenomenon from multiple angles</w:t>
      </w:r>
      <w:r w:rsidR="000B4F2F" w:rsidRPr="00140C18">
        <w:rPr>
          <w:b/>
          <w:highlight w:val="yellow"/>
        </w:rPr>
        <w:t>.</w:t>
      </w:r>
    </w:p>
    <w:p w14:paraId="6EA11D83" w14:textId="5C28BDF8" w:rsidR="008D4AFE" w:rsidRPr="00140C18" w:rsidRDefault="0089144B" w:rsidP="00011254">
      <w:pPr>
        <w:ind w:firstLine="720"/>
      </w:pPr>
      <w:r w:rsidRPr="00140C18">
        <w:rPr>
          <w:highlight w:val="yellow"/>
          <w:lang w:val="en-GB" w:eastAsia="en-GB"/>
        </w:rPr>
        <w:t xml:space="preserve">The authenticity of behavioural indicators is subject to Mainini’s </w:t>
      </w:r>
      <w:r w:rsidRPr="00140C18">
        <w:rPr>
          <w:highlight w:val="yellow"/>
          <w:lang w:val="en-GB" w:eastAsia="en-GB"/>
        </w:rPr>
        <w:t>selection process</w:t>
      </w:r>
      <w:r w:rsidRPr="00140C18">
        <w:rPr>
          <w:highlight w:val="yellow"/>
          <w:lang w:val="en-GB" w:eastAsia="en-GB"/>
        </w:rPr>
        <w:t>.</w:t>
      </w:r>
      <w:r w:rsidRPr="00140C18">
        <w:rPr>
          <w:lang w:val="en-GB" w:eastAsia="en-GB"/>
        </w:rPr>
        <w:t xml:space="preserve"> Any assessment has to be reliable (</w:t>
      </w:r>
      <w:r w:rsidRPr="00140C18">
        <w:t>Alkema, 2011</w:t>
      </w:r>
      <w:r w:rsidRPr="00140C18">
        <w:rPr>
          <w:lang w:val="en-GB" w:eastAsia="en-GB"/>
        </w:rPr>
        <w:t>)</w:t>
      </w:r>
      <w:r w:rsidRPr="00140C18">
        <w:rPr>
          <w:lang w:val="en-GB" w:eastAsia="en-GB"/>
        </w:rPr>
        <w:t xml:space="preserve"> and g</w:t>
      </w:r>
      <w:r w:rsidR="00C13137" w:rsidRPr="00140C18">
        <w:t>iven the potential f</w:t>
      </w:r>
      <w:r w:rsidRPr="00140C18">
        <w:t xml:space="preserve">or confirmation bias, it should be noted </w:t>
      </w:r>
      <w:r w:rsidR="00C13137" w:rsidRPr="00140C18">
        <w:t>how many interactions were involuntary</w:t>
      </w:r>
      <w:r w:rsidR="000467F9" w:rsidRPr="00140C18">
        <w:t xml:space="preserve"> (i.e. initiated by the teacher)</w:t>
      </w:r>
      <w:r w:rsidR="00C13137" w:rsidRPr="00140C18">
        <w:t>.</w:t>
      </w:r>
      <w:r w:rsidR="0081770D" w:rsidRPr="00140C18">
        <w:t xml:space="preserve"> Acheson’s (1987) verbal flow chart is an observation tool that may provide insight into the true nature of Mainini’s involvement</w:t>
      </w:r>
      <w:r w:rsidR="002A100C" w:rsidRPr="00140C18">
        <w:t xml:space="preserve"> and the students behaviour</w:t>
      </w:r>
      <w:r w:rsidR="0081770D" w:rsidRPr="00140C18">
        <w:t>.</w:t>
      </w:r>
      <w:r w:rsidR="00EE7FF9" w:rsidRPr="00140C18">
        <w:t xml:space="preserve"> Whilst Mainini was providing classroom instruction and assisting small groups, an observer could record the flow of conversation, such as (1) who initiated the conversation? (2) how many questions did Mainini ask? (3) how often? and (4) to whom?</w:t>
      </w:r>
      <w:r w:rsidR="002C38FD" w:rsidRPr="00140C18">
        <w:t xml:space="preserve"> In combination with the existing data, the verbal flow chart can offer additional insight.</w:t>
      </w:r>
    </w:p>
    <w:p w14:paraId="5165B555" w14:textId="77777777" w:rsidR="00D97F9D" w:rsidRPr="00140C18" w:rsidRDefault="008D4AFE" w:rsidP="00D97F9D">
      <w:pPr>
        <w:ind w:firstLine="720"/>
      </w:pPr>
      <w:r w:rsidRPr="00140C18">
        <w:t>A</w:t>
      </w:r>
      <w:r w:rsidR="003B3C84" w:rsidRPr="00140C18">
        <w:t xml:space="preserve"> drawback of Mainini and Banes’ (2017) study is </w:t>
      </w:r>
      <w:r w:rsidR="00026EB8" w:rsidRPr="00140C18">
        <w:t>that very few</w:t>
      </w:r>
      <w:r w:rsidRPr="00140C18">
        <w:t xml:space="preserve"> measures </w:t>
      </w:r>
      <w:r w:rsidR="00026EB8" w:rsidRPr="00140C18">
        <w:t>have been taken to</w:t>
      </w:r>
      <w:r w:rsidRPr="00140C18">
        <w:t xml:space="preserve"> </w:t>
      </w:r>
      <w:r w:rsidR="00795861" w:rsidRPr="00140C18">
        <w:t>ensure</w:t>
      </w:r>
      <w:r w:rsidRPr="00140C18">
        <w:t xml:space="preserve"> the validity of </w:t>
      </w:r>
      <w:r w:rsidR="00F42524" w:rsidRPr="00140C18">
        <w:t>Mainini’s observations</w:t>
      </w:r>
      <w:r w:rsidRPr="00140C18">
        <w:t xml:space="preserve">. Burton and Bartlett (2004) attest to the </w:t>
      </w:r>
      <w:r w:rsidRPr="00140C18">
        <w:lastRenderedPageBreak/>
        <w:t>value of observations, however, they warn that “</w:t>
      </w:r>
      <w:r w:rsidR="00AE370D" w:rsidRPr="00140C18">
        <w:t>it is not always possible to understand actions by observation alone</w:t>
      </w:r>
      <w:r w:rsidRPr="00140C18">
        <w:t>”</w:t>
      </w:r>
      <w:r w:rsidR="00EB64ED" w:rsidRPr="00140C18">
        <w:t xml:space="preserve"> (p. </w:t>
      </w:r>
      <w:r w:rsidR="00C03A30" w:rsidRPr="00140C18">
        <w:t>141</w:t>
      </w:r>
      <w:r w:rsidR="00EB64ED" w:rsidRPr="00140C18">
        <w:t>)</w:t>
      </w:r>
      <w:r w:rsidR="00AE370D" w:rsidRPr="00140C18">
        <w:t xml:space="preserve">. </w:t>
      </w:r>
      <w:r w:rsidR="006F3FDF" w:rsidRPr="00140C18">
        <w:t>Mainini dismisses</w:t>
      </w:r>
      <w:r w:rsidR="003866F4" w:rsidRPr="00140C18">
        <w:t xml:space="preserve"> research that argues ability level grouping negatively impacts students socially because “</w:t>
      </w:r>
      <w:r w:rsidR="00E4307D" w:rsidRPr="00140C18">
        <w:t>many students in [her]</w:t>
      </w:r>
      <w:r w:rsidR="003866F4" w:rsidRPr="00140C18">
        <w:t xml:space="preserve"> class wanted to be in the small groups” (Mainini &amp; Bane, 2017</w:t>
      </w:r>
      <w:r w:rsidR="00C54AA9" w:rsidRPr="00140C18">
        <w:t>, p. 86</w:t>
      </w:r>
      <w:r w:rsidR="003866F4" w:rsidRPr="00140C18">
        <w:t>)</w:t>
      </w:r>
      <w:r w:rsidR="00661100" w:rsidRPr="00140C18">
        <w:t xml:space="preserve">. </w:t>
      </w:r>
      <w:r w:rsidR="00661100" w:rsidRPr="00140C18">
        <w:t>As the term “many” is not comprehensive, it is implied some students did not want to be in small groups. This was not investigated due to what appears to be confirmation bias</w:t>
      </w:r>
      <w:r w:rsidR="00C03A30" w:rsidRPr="00140C18">
        <w:t xml:space="preserve">, in that only evidence in support of the interventions is </w:t>
      </w:r>
      <w:r w:rsidR="00485105" w:rsidRPr="00140C18">
        <w:t>pursued</w:t>
      </w:r>
      <w:r w:rsidR="00661100" w:rsidRPr="00140C18">
        <w:t>.</w:t>
      </w:r>
      <w:r w:rsidR="00661100" w:rsidRPr="00140C18">
        <w:t xml:space="preserve"> </w:t>
      </w:r>
      <w:r w:rsidR="00485105" w:rsidRPr="00140C18">
        <w:t xml:space="preserve">this concern could be alleviated had </w:t>
      </w:r>
      <w:r w:rsidR="006560DF" w:rsidRPr="00140C18">
        <w:t>focal students been randomly selected</w:t>
      </w:r>
      <w:r w:rsidR="005B61F0" w:rsidRPr="00140C18">
        <w:t xml:space="preserve"> </w:t>
      </w:r>
      <w:r w:rsidR="00AF6168" w:rsidRPr="00140C18">
        <w:t>and,</w:t>
      </w:r>
      <w:r w:rsidR="006560DF" w:rsidRPr="00140C18">
        <w:t xml:space="preserve"> thereby,</w:t>
      </w:r>
      <w:r w:rsidR="005B61F0" w:rsidRPr="00140C18">
        <w:t xml:space="preserve"> more indicative of the classroom’</w:t>
      </w:r>
      <w:r w:rsidR="00485105" w:rsidRPr="00140C18">
        <w:t>s population.</w:t>
      </w:r>
      <w:r w:rsidR="008379B7" w:rsidRPr="00140C18">
        <w:t xml:space="preserve"> Or, alternatively, a post interview, </w:t>
      </w:r>
      <w:r w:rsidR="004C401C" w:rsidRPr="00140C18">
        <w:t xml:space="preserve">performed by </w:t>
      </w:r>
      <w:r w:rsidR="008379B7" w:rsidRPr="00140C18">
        <w:t>an outsider, could extract deeper meaning from such observations</w:t>
      </w:r>
      <w:r w:rsidR="00805D9A" w:rsidRPr="00140C18">
        <w:t xml:space="preserve"> (Burton &amp; Bartlett, </w:t>
      </w:r>
      <w:r w:rsidR="00805D9A" w:rsidRPr="00140C18">
        <w:t>2004)</w:t>
      </w:r>
      <w:r w:rsidR="008379B7" w:rsidRPr="00140C18">
        <w:t>.</w:t>
      </w:r>
    </w:p>
    <w:p w14:paraId="37F2EE52" w14:textId="65F7002B" w:rsidR="000C3688" w:rsidRPr="00140C18" w:rsidRDefault="00E13585" w:rsidP="00845B3F">
      <w:pPr>
        <w:ind w:firstLine="720"/>
      </w:pPr>
      <w:r w:rsidRPr="00140C18">
        <w:rPr>
          <w:highlight w:val="yellow"/>
        </w:rPr>
        <w:t>Whilst Mainini has moderated her involvement to that of providing “hints” (</w:t>
      </w:r>
      <w:r w:rsidRPr="00140C18">
        <w:rPr>
          <w:highlight w:val="yellow"/>
        </w:rPr>
        <w:t>Mainini &amp; Bane, 2017, p.89</w:t>
      </w:r>
      <w:r w:rsidRPr="00140C18">
        <w:rPr>
          <w:highlight w:val="yellow"/>
        </w:rPr>
        <w:t xml:space="preserve">) during sessions, her impact </w:t>
      </w:r>
      <w:r w:rsidR="002E7126" w:rsidRPr="00140C18">
        <w:rPr>
          <w:highlight w:val="yellow"/>
        </w:rPr>
        <w:t xml:space="preserve">on results </w:t>
      </w:r>
      <w:r w:rsidRPr="00140C18">
        <w:rPr>
          <w:highlight w:val="yellow"/>
        </w:rPr>
        <w:t xml:space="preserve">may be much greater. All data generated from participatory observations is the combination of both the researched and researcher (Cohen, Manion, &amp; Morrison, 2007; Peshkin, 1982). </w:t>
      </w:r>
      <w:r w:rsidR="00D97F9D" w:rsidRPr="00140C18">
        <w:rPr>
          <w:highlight w:val="yellow"/>
        </w:rPr>
        <w:t>Rather than attempt to disassociate herself, it</w:t>
      </w:r>
      <w:r w:rsidR="00DB231D" w:rsidRPr="00140C18">
        <w:rPr>
          <w:highlight w:val="yellow"/>
        </w:rPr>
        <w:t xml:space="preserve"> may have been b</w:t>
      </w:r>
      <w:r w:rsidR="009F3883" w:rsidRPr="00140C18">
        <w:rPr>
          <w:highlight w:val="yellow"/>
        </w:rPr>
        <w:t xml:space="preserve">eneficial for Mainini to </w:t>
      </w:r>
      <w:r w:rsidRPr="00140C18">
        <w:rPr>
          <w:highlight w:val="yellow"/>
        </w:rPr>
        <w:t>write field notes on thoughts and feelings during these sessions, in order to preserve them for later reflection, probe deeper meaning, and</w:t>
      </w:r>
      <w:r w:rsidR="00EE36ED" w:rsidRPr="00140C18">
        <w:rPr>
          <w:highlight w:val="yellow"/>
        </w:rPr>
        <w:t xml:space="preserve"> provide a means for</w:t>
      </w:r>
      <w:r w:rsidRPr="00140C18">
        <w:rPr>
          <w:highlight w:val="yellow"/>
        </w:rPr>
        <w:t xml:space="preserve"> </w:t>
      </w:r>
      <w:r w:rsidR="00EE36ED" w:rsidRPr="00140C18">
        <w:rPr>
          <w:highlight w:val="yellow"/>
        </w:rPr>
        <w:t>measuring</w:t>
      </w:r>
      <w:r w:rsidRPr="00140C18">
        <w:rPr>
          <w:highlight w:val="yellow"/>
        </w:rPr>
        <w:t xml:space="preserve"> their influence.</w:t>
      </w:r>
      <w:r w:rsidRPr="00140C18">
        <w:t xml:space="preserve"> </w:t>
      </w:r>
    </w:p>
    <w:p w14:paraId="790CBE7D" w14:textId="37D74910" w:rsidR="003E3D70" w:rsidRPr="00140C18" w:rsidRDefault="00E13585" w:rsidP="00845B3F">
      <w:pPr>
        <w:ind w:firstLine="720"/>
      </w:pPr>
      <w:r w:rsidRPr="00140C18">
        <w:t xml:space="preserve">The extent of collaboration </w:t>
      </w:r>
      <w:r w:rsidR="00845B3F" w:rsidRPr="00140C18">
        <w:t xml:space="preserve">in the studies research methods </w:t>
      </w:r>
      <w:r w:rsidRPr="00140C18">
        <w:t>is unclear. Mainini and Banes (2017) mentions “sharing… with other educators” (p.83), however, . “Collaborative teacher inquiry systematically investigating shared problems to discover cause effect connections between instructional plans and student outcomes-can lead to detectable changes in teachers’ practice” (Ermeling, 2010).</w:t>
      </w:r>
      <w:r w:rsidR="008C4384" w:rsidRPr="00140C18">
        <w:t xml:space="preserve"> </w:t>
      </w:r>
      <w:r w:rsidR="008C4384" w:rsidRPr="00140C18">
        <w:t>Whilst there is mention of a mentor, is recommended thoughts be discussed (Asselin, 2003).</w:t>
      </w:r>
    </w:p>
    <w:p w14:paraId="5CADFB3C" w14:textId="3E1DDEF9" w:rsidR="00D558EF" w:rsidRPr="00140C18" w:rsidRDefault="00A75EF1" w:rsidP="001118DF">
      <w:pPr>
        <w:pStyle w:val="Heading1"/>
      </w:pPr>
      <w:r w:rsidRPr="00140C18">
        <w:t>A</w:t>
      </w:r>
      <w:r w:rsidR="00D558EF" w:rsidRPr="00140C18">
        <w:t>nalysis Approaches (critiqued + resolved)</w:t>
      </w:r>
    </w:p>
    <w:p w14:paraId="1AFFC536" w14:textId="0D301F11" w:rsidR="009C1756" w:rsidRPr="00140C18" w:rsidRDefault="009C1756" w:rsidP="009C1756">
      <w:pPr>
        <w:rPr>
          <w:lang w:val="en-GB" w:eastAsia="en-GB"/>
        </w:rPr>
      </w:pPr>
    </w:p>
    <w:p w14:paraId="0A24935D" w14:textId="3BD59407" w:rsidR="009C1756" w:rsidRPr="00140C18" w:rsidRDefault="009C1756" w:rsidP="009C1756">
      <w:pPr>
        <w:ind w:firstLine="720"/>
      </w:pPr>
      <w:r w:rsidRPr="00140C18">
        <w:rPr>
          <w:highlight w:val="yellow"/>
        </w:rPr>
        <w:t>A drawback of Maini’s analysis approach is the absence of a shared conceptual framework.</w:t>
      </w:r>
      <w:r w:rsidRPr="00140C18">
        <w:t xml:space="preserve"> For example, fluidly grouping students based on “questions on white boards […], participat[ion] in pair-shares and class discussions” (Mainini &amp; Banes, 2017, p. 86) neither provides true insight into the grouping criteria nor a means of tracing the process (Asselin, 2003). without explicit qualitative systematic methods, it makes data interpretation vulnerable to ontological and epistemological assumptions (Jabareen, 2009) and undermines the studies rigour. Additionally, it is nearly impossible to draw comparisons across similar studies (Borko, Liston, &amp; Whitcomb, 2007) … Therefore, the claim that findings can be “generalised to similar populations” (), is speculative. Linking one’s experiences with agentive decision-making tools can foster needed knowledge in novice teachers (Wong, Athanases, &amp; Banes, 2017).</w:t>
      </w:r>
    </w:p>
    <w:p w14:paraId="696053AB" w14:textId="5D95DB28" w:rsidR="009C1756" w:rsidRPr="00140C18" w:rsidRDefault="000122D6" w:rsidP="008A3A07">
      <w:pPr>
        <w:ind w:firstLine="720"/>
      </w:pPr>
      <w:r w:rsidRPr="00140C18">
        <w:rPr>
          <w:highlight w:val="yellow"/>
        </w:rPr>
        <w:t xml:space="preserve">The limiting qualifiers </w:t>
      </w:r>
      <w:r w:rsidR="00845B3F" w:rsidRPr="00140C18">
        <w:rPr>
          <w:highlight w:val="yellow"/>
        </w:rPr>
        <w:t>indicate inconclusive findings from the study;</w:t>
      </w:r>
      <w:r w:rsidR="00F3198B" w:rsidRPr="00140C18">
        <w:rPr>
          <w:highlight w:val="yellow"/>
        </w:rPr>
        <w:t xml:space="preserve"> However, </w:t>
      </w:r>
      <w:r w:rsidR="00845B3F" w:rsidRPr="00140C18">
        <w:rPr>
          <w:highlight w:val="yellow"/>
        </w:rPr>
        <w:t>the data has</w:t>
      </w:r>
      <w:r w:rsidR="00474FB1" w:rsidRPr="00140C18">
        <w:rPr>
          <w:highlight w:val="yellow"/>
        </w:rPr>
        <w:t xml:space="preserve"> been </w:t>
      </w:r>
      <w:r w:rsidR="00B92D6B" w:rsidRPr="00140C18">
        <w:rPr>
          <w:highlight w:val="yellow"/>
        </w:rPr>
        <w:t>interpreted as</w:t>
      </w:r>
      <w:r w:rsidR="00474FB1" w:rsidRPr="00140C18">
        <w:rPr>
          <w:highlight w:val="yellow"/>
        </w:rPr>
        <w:t xml:space="preserve"> support</w:t>
      </w:r>
      <w:r w:rsidR="00B92D6B" w:rsidRPr="00140C18">
        <w:rPr>
          <w:highlight w:val="yellow"/>
        </w:rPr>
        <w:t>ive</w:t>
      </w:r>
      <w:r w:rsidR="00474FB1" w:rsidRPr="00140C18">
        <w:rPr>
          <w:highlight w:val="yellow"/>
        </w:rPr>
        <w:t xml:space="preserve"> of the </w:t>
      </w:r>
      <w:r w:rsidR="005F669D" w:rsidRPr="00140C18">
        <w:rPr>
          <w:highlight w:val="yellow"/>
        </w:rPr>
        <w:t>interventions</w:t>
      </w:r>
      <w:r w:rsidR="00845B3F" w:rsidRPr="00140C18">
        <w:rPr>
          <w:highlight w:val="yellow"/>
        </w:rPr>
        <w:t xml:space="preserve">, with statements such as </w:t>
      </w:r>
      <w:r w:rsidR="00845B3F" w:rsidRPr="00140C18">
        <w:rPr>
          <w:highlight w:val="yellow"/>
        </w:rPr>
        <w:t>“this suggests that both instructional strategies were an effective way to behaviourally engage higher performance students”</w:t>
      </w:r>
      <w:r w:rsidR="00845B3F" w:rsidRPr="00140C18">
        <w:t xml:space="preserve"> (Mainini &amp; Bane, 2007</w:t>
      </w:r>
      <w:r w:rsidR="00FB1A5E" w:rsidRPr="00140C18">
        <w:t>, p.94</w:t>
      </w:r>
      <w:r w:rsidR="00845B3F" w:rsidRPr="00140C18">
        <w:t>).</w:t>
      </w:r>
      <w:r w:rsidR="00956268" w:rsidRPr="00140C18">
        <w:t xml:space="preserve"> </w:t>
      </w:r>
      <w:r w:rsidR="00BC20FD" w:rsidRPr="00140C18">
        <w:rPr>
          <w:lang w:val="en-US"/>
        </w:rPr>
        <w:t>Mainini’s duel role may prevent the necessary detachment for analyzing data objectively (</w:t>
      </w:r>
      <w:r w:rsidR="00BC20FD" w:rsidRPr="00140C18">
        <w:t>Asselin, 2003</w:t>
      </w:r>
      <w:r w:rsidR="00C1635A" w:rsidRPr="00140C18">
        <w:rPr>
          <w:lang w:val="en-US"/>
        </w:rPr>
        <w:t>) and i</w:t>
      </w:r>
      <w:r w:rsidR="00BC20FD" w:rsidRPr="00140C18">
        <w:rPr>
          <w:lang w:val="en-US"/>
        </w:rPr>
        <w:t>t is</w:t>
      </w:r>
      <w:r w:rsidR="00C1635A" w:rsidRPr="00140C18">
        <w:rPr>
          <w:lang w:val="en-US"/>
        </w:rPr>
        <w:t xml:space="preserve"> preferable</w:t>
      </w:r>
      <w:r w:rsidR="00BC20FD" w:rsidRPr="00140C18">
        <w:rPr>
          <w:lang w:val="en-US"/>
        </w:rPr>
        <w:t xml:space="preserve"> observe </w:t>
      </w:r>
      <w:r w:rsidR="00FB1A5E" w:rsidRPr="00140C18">
        <w:rPr>
          <w:lang w:val="en-US"/>
        </w:rPr>
        <w:t>interactions</w:t>
      </w:r>
      <w:r w:rsidR="00BC20FD" w:rsidRPr="00140C18">
        <w:rPr>
          <w:lang w:val="en-US"/>
        </w:rPr>
        <w:t xml:space="preserve"> to ensure findings correlate. </w:t>
      </w:r>
    </w:p>
    <w:p w14:paraId="168D9A06" w14:textId="443AA0D6" w:rsidR="00094642" w:rsidRPr="00140C18" w:rsidRDefault="00EE5734" w:rsidP="00497A1F">
      <w:pPr>
        <w:ind w:firstLine="720"/>
      </w:pPr>
      <w:r w:rsidRPr="00140C18">
        <w:t>Regardless, such experiments are not without merit, as they can significantly increase student achievement</w:t>
      </w:r>
      <w:r w:rsidR="005840BB" w:rsidRPr="00140C18">
        <w:t xml:space="preserve"> (Gallimore, Ermeling, Saunders, &amp; Goldenberg 2009)</w:t>
      </w:r>
      <w:r w:rsidR="008A3A07" w:rsidRPr="00140C18">
        <w:t xml:space="preserve"> and, as with this case-study, can resolve </w:t>
      </w:r>
      <w:r w:rsidR="00392DC8" w:rsidRPr="00140C18">
        <w:t>practical</w:t>
      </w:r>
      <w:r w:rsidR="008A3A07" w:rsidRPr="00140C18">
        <w:t xml:space="preserve"> issues</w:t>
      </w:r>
      <w:r w:rsidR="009C1756" w:rsidRPr="00140C18">
        <w:t>.</w:t>
      </w:r>
    </w:p>
    <w:p w14:paraId="3FD67417" w14:textId="0A3ECFF3" w:rsidR="00B067F7" w:rsidRPr="00140C18" w:rsidRDefault="002B373B" w:rsidP="00E30EC7">
      <w:pPr>
        <w:pStyle w:val="Heading1"/>
      </w:pPr>
      <w:r w:rsidRPr="00140C18">
        <w:t>Ethical Considerations</w:t>
      </w:r>
    </w:p>
    <w:p w14:paraId="01A5CCEC" w14:textId="4CFB23E4" w:rsidR="00225223" w:rsidRPr="00140C18" w:rsidRDefault="00AC1553" w:rsidP="00225223">
      <w:pPr>
        <w:pStyle w:val="NormalWeb"/>
        <w:ind w:firstLine="720"/>
      </w:pPr>
      <w:r w:rsidRPr="00140C18">
        <w:rPr>
          <w:highlight w:val="yellow"/>
        </w:rPr>
        <w:t>Pseudonyms have been used in substitute of the children’s real names, however, this</w:t>
      </w:r>
      <w:r w:rsidR="00CD1560" w:rsidRPr="00140C18">
        <w:rPr>
          <w:highlight w:val="yellow"/>
        </w:rPr>
        <w:t xml:space="preserve"> ethical</w:t>
      </w:r>
      <w:r w:rsidRPr="00140C18">
        <w:rPr>
          <w:highlight w:val="yellow"/>
        </w:rPr>
        <w:t xml:space="preserve"> act is notional rather than </w:t>
      </w:r>
      <w:r w:rsidR="00CD1560" w:rsidRPr="00140C18">
        <w:rPr>
          <w:highlight w:val="yellow"/>
        </w:rPr>
        <w:t>actual</w:t>
      </w:r>
      <w:r w:rsidR="00CD1560" w:rsidRPr="00140C18">
        <w:t xml:space="preserve">. </w:t>
      </w:r>
      <w:r w:rsidR="007A6A11" w:rsidRPr="00140C18">
        <w:t>It is public knowledge that</w:t>
      </w:r>
      <w:r w:rsidR="00283185" w:rsidRPr="00140C18">
        <w:t>,</w:t>
      </w:r>
      <w:r w:rsidR="007A6A11" w:rsidRPr="00140C18">
        <w:t xml:space="preserve"> </w:t>
      </w:r>
      <w:r w:rsidR="00283185" w:rsidRPr="00140C18">
        <w:t xml:space="preserve">during </w:t>
      </w:r>
      <w:r w:rsidR="007A6A11" w:rsidRPr="00140C18">
        <w:t xml:space="preserve">the year of data </w:t>
      </w:r>
      <w:r w:rsidR="007A6A11" w:rsidRPr="00140C18">
        <w:lastRenderedPageBreak/>
        <w:t>collection</w:t>
      </w:r>
      <w:r w:rsidR="00283185" w:rsidRPr="00140C18">
        <w:t xml:space="preserve"> for this study,</w:t>
      </w:r>
      <w:r w:rsidR="007A6A11" w:rsidRPr="00140C18">
        <w:t xml:space="preserve"> Mainini </w:t>
      </w:r>
      <w:r w:rsidR="008D6661" w:rsidRPr="00140C18">
        <w:t>was teaching</w:t>
      </w:r>
      <w:r w:rsidR="007A6A11" w:rsidRPr="00140C18">
        <w:t xml:space="preserve"> at Edwin Markham Elementary </w:t>
      </w:r>
      <w:r w:rsidR="00B16117" w:rsidRPr="00140C18">
        <w:t xml:space="preserve">School </w:t>
      </w:r>
      <w:r w:rsidR="007A6A11" w:rsidRPr="00140C18">
        <w:t xml:space="preserve">in </w:t>
      </w:r>
      <w:r w:rsidR="007E648C" w:rsidRPr="00140C18">
        <w:t>R</w:t>
      </w:r>
      <w:r w:rsidR="007A6A11" w:rsidRPr="00140C18">
        <w:t>oom 32</w:t>
      </w:r>
      <w:r w:rsidR="00A76BAB" w:rsidRPr="00140C18">
        <w:t xml:space="preserve"> (Edwin Markham Elementary, 2016)</w:t>
      </w:r>
      <w:r w:rsidR="007A6A11" w:rsidRPr="00140C18">
        <w:t>.</w:t>
      </w:r>
      <w:r w:rsidR="00236790" w:rsidRPr="00140C18">
        <w:t xml:space="preserve"> The anonymity of the children is further compromised by the </w:t>
      </w:r>
      <w:r w:rsidR="00B16117" w:rsidRPr="00140C18">
        <w:t>publicly-assessable archive of</w:t>
      </w:r>
      <w:r w:rsidR="00236790" w:rsidRPr="00140C18">
        <w:t xml:space="preserve"> blog</w:t>
      </w:r>
      <w:r w:rsidR="00B16117" w:rsidRPr="00140C18">
        <w:t xml:space="preserve"> posts</w:t>
      </w:r>
      <w:r w:rsidR="00236790" w:rsidRPr="00140C18">
        <w:t xml:space="preserve"> and newsletter</w:t>
      </w:r>
      <w:r w:rsidR="007A4437" w:rsidRPr="00140C18">
        <w:t>s</w:t>
      </w:r>
      <w:r w:rsidR="00D15E60" w:rsidRPr="00140C18">
        <w:t xml:space="preserve"> (Edwin Markham Elementary, 2016).</w:t>
      </w:r>
      <w:r w:rsidR="006F0441" w:rsidRPr="00140C18">
        <w:t xml:space="preserve"> </w:t>
      </w:r>
      <w:r w:rsidR="00FA4524" w:rsidRPr="00140C18">
        <w:t xml:space="preserve">In knowing that these participants are vulnerable </w:t>
      </w:r>
      <w:r w:rsidR="007A4437" w:rsidRPr="00140C18">
        <w:t xml:space="preserve">subjects (i.e. children) and given the discussion of sensitive information (i.e. none of them </w:t>
      </w:r>
      <w:r w:rsidR="00FA4524" w:rsidRPr="00140C18">
        <w:t>classified as “Standard Met” for the previous years standardised math test</w:t>
      </w:r>
      <w:r w:rsidR="007A4437" w:rsidRPr="00140C18">
        <w:t xml:space="preserve">; </w:t>
      </w:r>
      <w:r w:rsidR="00FA4524" w:rsidRPr="00140C18">
        <w:t>Mainini &amp; Banes, 2017)</w:t>
      </w:r>
      <w:r w:rsidR="007A4437" w:rsidRPr="00140C18">
        <w:t xml:space="preserve">, it is a huge ethical concern for their identities to be so easily </w:t>
      </w:r>
      <w:r w:rsidR="00225223" w:rsidRPr="00140C18">
        <w:t>deduced</w:t>
      </w:r>
      <w:r w:rsidR="00FA4524" w:rsidRPr="00140C18">
        <w:t>.</w:t>
      </w:r>
      <w:r w:rsidR="0097044F" w:rsidRPr="00140C18">
        <w:t xml:space="preserve"> </w:t>
      </w:r>
      <w:r w:rsidR="00225223" w:rsidRPr="00140C18">
        <w:rPr>
          <w:highlight w:val="yellow"/>
        </w:rPr>
        <w:t>Until schools remove the names of teachers</w:t>
      </w:r>
      <w:r w:rsidR="008A1D9F" w:rsidRPr="00140C18">
        <w:rPr>
          <w:highlight w:val="yellow"/>
        </w:rPr>
        <w:t xml:space="preserve"> </w:t>
      </w:r>
      <w:r w:rsidR="00225223" w:rsidRPr="00140C18">
        <w:rPr>
          <w:highlight w:val="yellow"/>
        </w:rPr>
        <w:t>participating in practitioner research from their websites, the identities of children can, at the very least, be narrowed down to that of the school’s cohort.</w:t>
      </w:r>
    </w:p>
    <w:p w14:paraId="599CBEAA" w14:textId="6AD7D8B4" w:rsidR="009B4C8B" w:rsidRPr="00140C18" w:rsidRDefault="009B4C8B" w:rsidP="009B4C8B">
      <w:pPr>
        <w:ind w:firstLine="720"/>
      </w:pPr>
      <w:r w:rsidRPr="00140C18">
        <w:rPr>
          <w:highlight w:val="yellow"/>
        </w:rPr>
        <w:t>There is no mention of consent or assent, however, Mainini and Banes’ (2017) research is an extension to a University of California program and, therefore, beholden to their regulations. The University of California’s (2018) website states that - all research involving human subjects require prior approval from the Institutional Review Board-Human Subjects. Additionally, researchers must have (1) the minors assent and (2) permission from one legal guardian or parent for compliance with federal regulation and state statute (University of California, 2018).</w:t>
      </w:r>
      <w:r w:rsidRPr="00140C18">
        <w:t xml:space="preserve"> Mainini has been contacted to confirm this inference, however, there has been no response at the time of publication.</w:t>
      </w:r>
    </w:p>
    <w:p w14:paraId="48B30404" w14:textId="7A53E344" w:rsidR="008D6661" w:rsidRPr="00140C18" w:rsidRDefault="007104C0" w:rsidP="00D42BA4">
      <w:pPr>
        <w:pStyle w:val="NormalWeb"/>
        <w:ind w:firstLine="720"/>
      </w:pPr>
      <w:r w:rsidRPr="00140C18">
        <w:t xml:space="preserve">One minor consideration </w:t>
      </w:r>
      <w:r w:rsidR="00283185" w:rsidRPr="00140C18">
        <w:t xml:space="preserve">of pseudonyms </w:t>
      </w:r>
      <w:r w:rsidRPr="00140C18">
        <w:t xml:space="preserve">is that </w:t>
      </w:r>
      <w:r w:rsidR="00283185" w:rsidRPr="00140C18">
        <w:t xml:space="preserve">it </w:t>
      </w:r>
      <w:r w:rsidR="00D42BA4" w:rsidRPr="00140C18">
        <w:t>obfuscate</w:t>
      </w:r>
      <w:r w:rsidR="00283185" w:rsidRPr="00140C18">
        <w:t>s</w:t>
      </w:r>
      <w:r w:rsidR="00D42BA4" w:rsidRPr="00140C18">
        <w:t xml:space="preserve"> the</w:t>
      </w:r>
      <w:r w:rsidR="00283185" w:rsidRPr="00140C18">
        <w:t xml:space="preserve"> student’s</w:t>
      </w:r>
      <w:r w:rsidR="00D42BA4" w:rsidRPr="00140C18">
        <w:t xml:space="preserve"> gender</w:t>
      </w:r>
      <w:r w:rsidRPr="00140C18">
        <w:t xml:space="preserve"> (which has not been specified). </w:t>
      </w:r>
      <w:r w:rsidR="00AF0ED1" w:rsidRPr="00140C18">
        <w:t>Gender</w:t>
      </w:r>
      <w:r w:rsidR="00D42BA4" w:rsidRPr="00140C18">
        <w:t xml:space="preserve"> has an influence on teacher perception (</w:t>
      </w:r>
      <w:r w:rsidR="00D42BA4" w:rsidRPr="00140C18">
        <w:rPr>
          <w:color w:val="222222"/>
          <w:shd w:val="clear" w:color="auto" w:fill="FFFFFF"/>
        </w:rPr>
        <w:t>Auwarter, &amp; Aruguete, 2008) and, therefore,</w:t>
      </w:r>
      <w:r w:rsidR="003E7ECD" w:rsidRPr="00140C18">
        <w:rPr>
          <w:color w:val="222222"/>
          <w:shd w:val="clear" w:color="auto" w:fill="FFFFFF"/>
        </w:rPr>
        <w:t xml:space="preserve"> diminishes the</w:t>
      </w:r>
      <w:r w:rsidR="003E7ECD" w:rsidRPr="00140C18">
        <w:t xml:space="preserve"> description of subjects in an actual setting (Goubil-Gambrell, 1992).</w:t>
      </w:r>
      <w:r w:rsidR="006F0441" w:rsidRPr="00140C18">
        <w:t xml:space="preserve"> </w:t>
      </w:r>
    </w:p>
    <w:p w14:paraId="6CEB4446" w14:textId="77777777" w:rsidR="003E7ECD" w:rsidRPr="00140C18" w:rsidRDefault="00A00229" w:rsidP="003E7ECD">
      <w:pPr>
        <w:ind w:firstLine="720"/>
      </w:pPr>
      <w:r w:rsidRPr="00140C18">
        <w:t xml:space="preserve">Another ethical concern is </w:t>
      </w:r>
      <w:r w:rsidR="006B6B9E" w:rsidRPr="00140C18">
        <w:t xml:space="preserve">that </w:t>
      </w:r>
      <w:r w:rsidR="00933C34" w:rsidRPr="00140C18">
        <w:t>dual roles encompassed in</w:t>
      </w:r>
      <w:r w:rsidR="007D31A6" w:rsidRPr="00140C18">
        <w:t xml:space="preserve"> practitioner research </w:t>
      </w:r>
      <w:r w:rsidR="006B6B9E" w:rsidRPr="00140C18">
        <w:t xml:space="preserve">may detract from </w:t>
      </w:r>
      <w:r w:rsidR="002D47C5" w:rsidRPr="00140C18">
        <w:t>the teacher</w:t>
      </w:r>
      <w:r w:rsidR="001A3C2A" w:rsidRPr="00140C18">
        <w:t>’s</w:t>
      </w:r>
      <w:r w:rsidR="002D47C5" w:rsidRPr="00140C18">
        <w:t xml:space="preserve"> </w:t>
      </w:r>
      <w:r w:rsidR="00017758" w:rsidRPr="00140C18">
        <w:t>responsibilities</w:t>
      </w:r>
      <w:r w:rsidR="002D47C5" w:rsidRPr="00140C18">
        <w:t xml:space="preserve"> and, by extension, </w:t>
      </w:r>
      <w:r w:rsidR="006B6B9E" w:rsidRPr="00140C18">
        <w:t>student learning</w:t>
      </w:r>
      <w:r w:rsidRPr="00140C18">
        <w:t xml:space="preserve">. </w:t>
      </w:r>
      <w:r w:rsidR="00B90A21" w:rsidRPr="00140C18">
        <w:t>A practitioner cannot work and record data at the same time (Anderson, Herr, &amp; Nihlen, 1994</w:t>
      </w:r>
      <w:r w:rsidR="00145320" w:rsidRPr="00140C18">
        <w:t xml:space="preserve">; as cited in </w:t>
      </w:r>
      <w:r w:rsidR="00B90A21" w:rsidRPr="00140C18">
        <w:t xml:space="preserve">). </w:t>
      </w:r>
      <w:r w:rsidR="007D31A6" w:rsidRPr="00140C18">
        <w:lastRenderedPageBreak/>
        <w:t xml:space="preserve">Whilst Asselin (2003) claims that practitioners must answer questions as a researcher, presumably for </w:t>
      </w:r>
      <w:r w:rsidR="006B6B9E" w:rsidRPr="00140C18">
        <w:t>objectivity</w:t>
      </w:r>
      <w:r w:rsidR="00ED7252" w:rsidRPr="00140C18">
        <w:t>,</w:t>
      </w:r>
      <w:r w:rsidR="007D31A6" w:rsidRPr="00140C18">
        <w:t xml:space="preserve"> it would seem negligent to do so </w:t>
      </w:r>
      <w:r w:rsidR="006B6B9E" w:rsidRPr="00140C18">
        <w:t>with student participants</w:t>
      </w:r>
      <w:r w:rsidR="00054CF1" w:rsidRPr="00140C18">
        <w:t>.</w:t>
      </w:r>
      <w:r w:rsidR="007D31A6" w:rsidRPr="00140C18">
        <w:t xml:space="preserve"> </w:t>
      </w:r>
      <w:r w:rsidR="006B6B9E" w:rsidRPr="00140C18">
        <w:t xml:space="preserve">Students </w:t>
      </w:r>
      <w:r w:rsidR="00EA239E" w:rsidRPr="00140C18">
        <w:t>benefit</w:t>
      </w:r>
      <w:r w:rsidR="00AC32D1" w:rsidRPr="00140C18">
        <w:t xml:space="preserve"> from</w:t>
      </w:r>
      <w:r w:rsidR="006B6B9E" w:rsidRPr="00140C18">
        <w:t xml:space="preserve"> interpersonal relationships with their</w:t>
      </w:r>
      <w:r w:rsidR="00054CF1" w:rsidRPr="00140C18">
        <w:t xml:space="preserve"> teacher (Wasserman, 2016</w:t>
      </w:r>
      <w:r w:rsidR="00EA239E" w:rsidRPr="00140C18">
        <w:t xml:space="preserve">; </w:t>
      </w:r>
      <w:r w:rsidR="00EA239E" w:rsidRPr="00140C18">
        <w:rPr>
          <w:highlight w:val="yellow"/>
        </w:rPr>
        <w:t>Van Uden, Ritzen &amp; Pieters 2014</w:t>
      </w:r>
      <w:r w:rsidR="00054CF1" w:rsidRPr="00140C18">
        <w:t>)</w:t>
      </w:r>
      <w:r w:rsidR="006B6B9E" w:rsidRPr="00140C18">
        <w:t>.</w:t>
      </w:r>
      <w:r w:rsidR="002D47C5" w:rsidRPr="00140C18">
        <w:rPr>
          <w:highlight w:val="yellow"/>
        </w:rPr>
        <w:t xml:space="preserve"> </w:t>
      </w:r>
      <w:r w:rsidR="00EF39D1" w:rsidRPr="00140C18">
        <w:t>To help overcome the blurred boundaries between inquiry and practice</w:t>
      </w:r>
      <w:r w:rsidR="00EF39D1" w:rsidRPr="00140C18">
        <w:t xml:space="preserve"> (Cochran-Smith &amp; Lytle, 2009)</w:t>
      </w:r>
      <w:r w:rsidR="00EF39D1" w:rsidRPr="00140C18">
        <w:t xml:space="preserve">, </w:t>
      </w:r>
      <w:r w:rsidR="002D47C5" w:rsidRPr="00140C18">
        <w:rPr>
          <w:highlight w:val="yellow"/>
        </w:rPr>
        <w:t xml:space="preserve">Alderson and Morrow (2011) recommend that insiders </w:t>
      </w:r>
      <w:r w:rsidR="004D28BA" w:rsidRPr="00140C18">
        <w:rPr>
          <w:highlight w:val="yellow"/>
        </w:rPr>
        <w:t xml:space="preserve">make it obvious </w:t>
      </w:r>
      <w:r w:rsidR="007B662E" w:rsidRPr="00140C18">
        <w:rPr>
          <w:highlight w:val="yellow"/>
        </w:rPr>
        <w:t>when their primary focus is research. For example, by</w:t>
      </w:r>
      <w:r w:rsidR="002D47C5" w:rsidRPr="00140C18">
        <w:rPr>
          <w:highlight w:val="yellow"/>
        </w:rPr>
        <w:t xml:space="preserve"> wear</w:t>
      </w:r>
      <w:r w:rsidR="007B662E" w:rsidRPr="00140C18">
        <w:rPr>
          <w:highlight w:val="yellow"/>
        </w:rPr>
        <w:t>ing</w:t>
      </w:r>
      <w:r w:rsidR="002D47C5" w:rsidRPr="00140C18">
        <w:rPr>
          <w:highlight w:val="yellow"/>
        </w:rPr>
        <w:t xml:space="preserve"> a </w:t>
      </w:r>
      <w:r w:rsidR="00DB01B7" w:rsidRPr="00140C18">
        <w:rPr>
          <w:highlight w:val="yellow"/>
        </w:rPr>
        <w:t xml:space="preserve">‘researcher’ </w:t>
      </w:r>
      <w:r w:rsidR="002D47C5" w:rsidRPr="00140C18">
        <w:rPr>
          <w:highlight w:val="yellow"/>
        </w:rPr>
        <w:t>badge during intense periods of data collection</w:t>
      </w:r>
      <w:r w:rsidR="007B662E" w:rsidRPr="00140C18">
        <w:rPr>
          <w:highlight w:val="yellow"/>
        </w:rPr>
        <w:t xml:space="preserve"> it can be</w:t>
      </w:r>
      <w:r w:rsidR="002D47C5" w:rsidRPr="00140C18">
        <w:rPr>
          <w:highlight w:val="yellow"/>
        </w:rPr>
        <w:t xml:space="preserve"> made clear to </w:t>
      </w:r>
      <w:r w:rsidR="005052C2" w:rsidRPr="00140C18">
        <w:rPr>
          <w:highlight w:val="yellow"/>
        </w:rPr>
        <w:t>students that their teacher currently has a</w:t>
      </w:r>
      <w:r w:rsidR="002D47C5" w:rsidRPr="00140C18">
        <w:rPr>
          <w:highlight w:val="yellow"/>
        </w:rPr>
        <w:t xml:space="preserve"> research focus</w:t>
      </w:r>
      <w:r w:rsidR="00F5315C" w:rsidRPr="00140C18">
        <w:rPr>
          <w:highlight w:val="yellow"/>
        </w:rPr>
        <w:t>, factoring in the ‘observer effect’</w:t>
      </w:r>
      <w:r w:rsidR="002D47C5" w:rsidRPr="00140C18">
        <w:rPr>
          <w:highlight w:val="yellow"/>
        </w:rPr>
        <w:t>.</w:t>
      </w:r>
      <w:r w:rsidR="00F01751" w:rsidRPr="00140C18">
        <w:t xml:space="preserve"> Additionally, openness and honest throughout all stages of the research process can assist with easing student dissonance (Burton &amp; Bartlett, 2004). </w:t>
      </w:r>
    </w:p>
    <w:p w14:paraId="3CAAB4AF" w14:textId="3DF7F7D4" w:rsidR="00BC6561" w:rsidRPr="00140C18" w:rsidRDefault="00BC6561" w:rsidP="003E7ECD">
      <w:pPr>
        <w:ind w:firstLine="720"/>
      </w:pPr>
      <w:r w:rsidRPr="00140C18">
        <w:t>There are issues of trust (Asselin, 2003). The primary goal of teaching is student learning. Does research detract from this? Do students get special treatment?</w:t>
      </w:r>
    </w:p>
    <w:p w14:paraId="7ABF331B" w14:textId="77777777" w:rsidR="003E7ECD" w:rsidRPr="00140C18" w:rsidRDefault="00A00229" w:rsidP="003E7ECD">
      <w:r w:rsidRPr="00140C18">
        <w:t>Researcher and participant relationships can shift throughout - and perhaps as a result of - a study (</w:t>
      </w:r>
      <w:r w:rsidR="009154D1" w:rsidRPr="00140C18">
        <w:t>Herr &amp; Anderson, 2005</w:t>
      </w:r>
      <w:r w:rsidRPr="00140C18">
        <w:t>). Students may feel anxious about the additional analysis (Asselin, 2003). It is recommended that in order to curtail negative effects, the researcher communicate their research role and participant confidentiality. There is no indication this took place or even that students knew of the study.</w:t>
      </w:r>
      <w:r w:rsidR="003E7ECD" w:rsidRPr="00140C18">
        <w:t xml:space="preserve"> </w:t>
      </w:r>
    </w:p>
    <w:p w14:paraId="4080AA49" w14:textId="04D01B11" w:rsidR="00BC6561" w:rsidRDefault="00D80571" w:rsidP="00140C18">
      <w:r w:rsidRPr="00140C18">
        <w:t xml:space="preserve">A benefit of quantitative research should be the </w:t>
      </w:r>
      <w:r w:rsidR="00E068F0" w:rsidRPr="00140C18">
        <w:t xml:space="preserve">However, throughout the article, anactodatal evidence is provided </w:t>
      </w:r>
    </w:p>
    <w:p w14:paraId="3EAB12EC" w14:textId="26D38C63" w:rsidR="00081BB9" w:rsidRDefault="00081BB9" w:rsidP="00140C18"/>
    <w:p w14:paraId="308B7610" w14:textId="3F72555D" w:rsidR="00081BB9" w:rsidRPr="00081BB9" w:rsidRDefault="00081BB9" w:rsidP="00081BB9">
      <w:pPr>
        <w:ind w:firstLine="720"/>
        <w:rPr>
          <w:color w:val="00B0F0"/>
          <w:lang w:val="en-US"/>
        </w:rPr>
      </w:pPr>
      <w:r w:rsidRPr="00081BB9">
        <w:rPr>
          <w:color w:val="00B0F0"/>
        </w:rPr>
        <w:t xml:space="preserve">Practitioner research </w:t>
      </w:r>
      <w:r>
        <w:rPr>
          <w:color w:val="00B0F0"/>
        </w:rPr>
        <w:t>has empowered Mainini and Banes (2017)</w:t>
      </w:r>
      <w:r w:rsidRPr="00081BB9">
        <w:rPr>
          <w:color w:val="00B0F0"/>
        </w:rPr>
        <w:t xml:space="preserve"> </w:t>
      </w:r>
      <w:r w:rsidR="00427D0F">
        <w:rPr>
          <w:color w:val="00B0F0"/>
        </w:rPr>
        <w:t>to become</w:t>
      </w:r>
      <w:r w:rsidRPr="00081BB9">
        <w:rPr>
          <w:color w:val="00B0F0"/>
        </w:rPr>
        <w:t xml:space="preserve"> change agents </w:t>
      </w:r>
      <w:r w:rsidR="0017022A">
        <w:rPr>
          <w:color w:val="00B0F0"/>
        </w:rPr>
        <w:t>in</w:t>
      </w:r>
      <w:r w:rsidRPr="00081BB9">
        <w:rPr>
          <w:color w:val="00B0F0"/>
        </w:rPr>
        <w:t xml:space="preserve"> their domain. A phenomenon when undertaking practitioner research is the shift in attribution of improved student performance to one’s own teaching rather than external causes (Gallimore, Ermeling, Saunders, &amp; Goldenberg, 2009). Furthermore, </w:t>
      </w:r>
      <w:r w:rsidRPr="00081BB9">
        <w:rPr>
          <w:color w:val="00B0F0"/>
          <w:highlight w:val="yellow"/>
        </w:rPr>
        <w:t xml:space="preserve">Ermeling’s (2010) research suggests the nature of inquiry research can positively change teacher </w:t>
      </w:r>
      <w:r w:rsidRPr="00081BB9">
        <w:rPr>
          <w:color w:val="00B0F0"/>
          <w:highlight w:val="yellow"/>
        </w:rPr>
        <w:lastRenderedPageBreak/>
        <w:t>practice, regardless of the phenomenon under study.</w:t>
      </w:r>
      <w:r w:rsidRPr="00081BB9">
        <w:rPr>
          <w:color w:val="00B0F0"/>
        </w:rPr>
        <w:t xml:space="preserve"> Such is the case with </w:t>
      </w:r>
      <w:r w:rsidRPr="00081BB9">
        <w:rPr>
          <w:color w:val="00B0F0"/>
          <w:highlight w:val="yellow"/>
          <w:lang w:val="en-US"/>
        </w:rPr>
        <w:t xml:space="preserve">Mainini and Banes’ </w:t>
      </w:r>
      <w:r w:rsidRPr="00081BB9">
        <w:rPr>
          <w:color w:val="00B0F0"/>
          <w:lang w:val="en-US"/>
        </w:rPr>
        <w:t>research.</w:t>
      </w:r>
    </w:p>
    <w:p w14:paraId="1CBD6BE3" w14:textId="77777777" w:rsidR="00081BB9" w:rsidRPr="00140C18" w:rsidRDefault="00081BB9" w:rsidP="00140C18"/>
    <w:p w14:paraId="2E0B5BF8" w14:textId="42C0D635" w:rsidR="002F7D79" w:rsidRPr="00140C18" w:rsidRDefault="002F7D79" w:rsidP="00140C18">
      <w:pPr>
        <w:pStyle w:val="Heading1"/>
      </w:pPr>
      <w:r w:rsidRPr="00140C18">
        <w:t>Conclusion</w:t>
      </w:r>
    </w:p>
    <w:p w14:paraId="55F2D77D" w14:textId="4D677727" w:rsidR="002F7D79" w:rsidRPr="00140C18" w:rsidRDefault="00684FEE" w:rsidP="001118DF">
      <w:r w:rsidRPr="00140C18">
        <w:t>B</w:t>
      </w:r>
      <w:r w:rsidR="002D5609" w:rsidRPr="00140C18">
        <w:t xml:space="preserve">ias places the trustworthiness and validity of the study at risk (Field, 1991; Tilley &amp; Chambers, 1996; Thomas, </w:t>
      </w:r>
      <w:r w:rsidRPr="00140C18">
        <w:t>Blacksmith, &amp; Reno, 2000; as cited in Asselin, 2003</w:t>
      </w:r>
      <w:r w:rsidR="002D5609" w:rsidRPr="00140C18">
        <w:t>).</w:t>
      </w:r>
    </w:p>
    <w:p w14:paraId="21F43200" w14:textId="443EF4BD" w:rsidR="00222791" w:rsidRPr="00140C18" w:rsidRDefault="00222791" w:rsidP="001118DF"/>
    <w:p w14:paraId="25234317" w14:textId="77777777" w:rsidR="00871815" w:rsidRPr="00140C18" w:rsidRDefault="00871815" w:rsidP="001118DF">
      <w:r w:rsidRPr="00140C18">
        <w:t xml:space="preserve">There is a positive relationship between M’s research and the students learning. </w:t>
      </w:r>
    </w:p>
    <w:p w14:paraId="07B6BAA0" w14:textId="77777777" w:rsidR="00871815" w:rsidRPr="00140C18" w:rsidRDefault="00871815" w:rsidP="00951BD2"/>
    <w:p w14:paraId="0124902A" w14:textId="24C26C47" w:rsidR="00871815" w:rsidRPr="00140C18" w:rsidRDefault="00951BD2" w:rsidP="001118DF">
      <w:r w:rsidRPr="00140C18">
        <w:t xml:space="preserve">The broader application of Mainini and Banes’ (2017) </w:t>
      </w:r>
      <w:r w:rsidR="005925BF" w:rsidRPr="00140C18">
        <w:t xml:space="preserve">work is subject to the Schrödinger effect; in that it may or may not have </w:t>
      </w:r>
      <w:r w:rsidR="00FD59B1" w:rsidRPr="00140C18">
        <w:t>any generalizable</w:t>
      </w:r>
      <w:r w:rsidR="00CC330B" w:rsidRPr="00140C18">
        <w:t xml:space="preserve"> results</w:t>
      </w:r>
      <w:r w:rsidR="00FD59B1" w:rsidRPr="00140C18">
        <w:t xml:space="preserve"> </w:t>
      </w:r>
      <w:r w:rsidR="005925BF" w:rsidRPr="00140C18">
        <w:t>and</w:t>
      </w:r>
      <w:r w:rsidR="00FD59B1" w:rsidRPr="00140C18">
        <w:t>,</w:t>
      </w:r>
      <w:r w:rsidR="005925BF" w:rsidRPr="00140C18">
        <w:t xml:space="preserve"> yet</w:t>
      </w:r>
      <w:r w:rsidR="00FD59B1" w:rsidRPr="00140C18">
        <w:t>,</w:t>
      </w:r>
      <w:r w:rsidR="005925BF" w:rsidRPr="00140C18">
        <w:t xml:space="preserve"> </w:t>
      </w:r>
      <w:r w:rsidR="00FD59B1" w:rsidRPr="00140C18">
        <w:t>in its transitive state, the inquiry process</w:t>
      </w:r>
      <w:r w:rsidR="00A21FC7" w:rsidRPr="00140C18">
        <w:t xml:space="preserve"> has empowered this one practitioner to </w:t>
      </w:r>
      <w:r w:rsidR="00501C21" w:rsidRPr="00140C18">
        <w:t>meet the needs of her diverse students’ needs</w:t>
      </w:r>
      <w:r w:rsidR="000D4A65" w:rsidRPr="00140C18">
        <w:t xml:space="preserve">, </w:t>
      </w:r>
      <w:r w:rsidR="00410CDA" w:rsidRPr="00140C18">
        <w:t xml:space="preserve">a testament to </w:t>
      </w:r>
      <w:r w:rsidR="0024323A" w:rsidRPr="00140C18">
        <w:t>intramural applicability of</w:t>
      </w:r>
      <w:r w:rsidR="000D4A65" w:rsidRPr="00140C18">
        <w:t xml:space="preserve"> practitioner research.</w:t>
      </w:r>
    </w:p>
    <w:p w14:paraId="2886A902" w14:textId="77777777" w:rsidR="00410CDA" w:rsidRPr="00140C18" w:rsidRDefault="00410CDA" w:rsidP="001118DF"/>
    <w:p w14:paraId="7654DFC6" w14:textId="587A1522" w:rsidR="00671A22" w:rsidRPr="00140C18" w:rsidRDefault="00222791" w:rsidP="00FE0A3A">
      <w:pPr>
        <w:pStyle w:val="Heading1"/>
      </w:pPr>
      <w:r w:rsidRPr="00140C18">
        <w:t>References</w:t>
      </w:r>
    </w:p>
    <w:p w14:paraId="53F9A930" w14:textId="77777777" w:rsidR="00671A22" w:rsidRPr="00140C18" w:rsidRDefault="00671A22" w:rsidP="00DE6AB7">
      <w:pPr>
        <w:ind w:hanging="720"/>
        <w:rPr>
          <w:color w:val="FF0000"/>
        </w:rPr>
      </w:pPr>
      <w:r w:rsidRPr="00140C18">
        <w:rPr>
          <w:color w:val="FF0000"/>
        </w:rPr>
        <w:t>Acheson, k. (1987). Another Set of Eyes: Techniques for Classroom Observation. Association for Supervision and Curriculum Development.</w:t>
      </w:r>
    </w:p>
    <w:p w14:paraId="45CDEE46" w14:textId="77777777" w:rsidR="00671A22" w:rsidRPr="00140C18" w:rsidRDefault="00671A22" w:rsidP="00DE6AB7">
      <w:pPr>
        <w:ind w:hanging="720"/>
        <w:rPr>
          <w:lang w:val="en-GB" w:eastAsia="en-GB"/>
        </w:rPr>
      </w:pPr>
    </w:p>
    <w:p w14:paraId="0831D9FC" w14:textId="77777777" w:rsidR="003B3D20" w:rsidRPr="00140C18" w:rsidRDefault="003B3D20" w:rsidP="00DE6AB7">
      <w:pPr>
        <w:ind w:hanging="720"/>
        <w:rPr>
          <w:color w:val="FF0000"/>
        </w:rPr>
      </w:pPr>
      <w:r w:rsidRPr="00140C18">
        <w:rPr>
          <w:color w:val="FF0000"/>
        </w:rPr>
        <w:t>Alderson, P., &amp; Morrow, V. (2011). The ethics of research with children and young people: A practical handbook. Sage Publications Ltd.</w:t>
      </w:r>
    </w:p>
    <w:p w14:paraId="729EAB94" w14:textId="77777777" w:rsidR="003B3D20" w:rsidRPr="00140C18" w:rsidRDefault="003B3D20" w:rsidP="00DE6AB7">
      <w:pPr>
        <w:ind w:hanging="720"/>
      </w:pPr>
    </w:p>
    <w:p w14:paraId="7EEB1800" w14:textId="102B9277" w:rsidR="000D72A3" w:rsidRPr="00140C18" w:rsidRDefault="00691583" w:rsidP="00DE6AB7">
      <w:pPr>
        <w:ind w:hanging="720"/>
      </w:pPr>
      <w:r w:rsidRPr="00140C18">
        <w:t>Alkema, A. (2011). A tertiary practitioner's guide to collecting evidence of learner benefit. Wellington: Ako Aotearoa.</w:t>
      </w:r>
    </w:p>
    <w:p w14:paraId="7DF0C122" w14:textId="77777777" w:rsidR="003B3D20" w:rsidRPr="00140C18" w:rsidRDefault="003B3D20" w:rsidP="00DE6AB7">
      <w:pPr>
        <w:ind w:hanging="720"/>
      </w:pPr>
    </w:p>
    <w:p w14:paraId="19511116" w14:textId="77777777" w:rsidR="00D14A5E" w:rsidRPr="00140C18" w:rsidRDefault="00D14A5E" w:rsidP="00DE6AB7">
      <w:pPr>
        <w:ind w:hanging="720"/>
      </w:pPr>
      <w:r w:rsidRPr="00140C18">
        <w:t>Ancestry. (2018). Mainini Family History. Retrieved from: https://www.ancestry.com/name-origin?surname=mainini</w:t>
      </w:r>
    </w:p>
    <w:p w14:paraId="1863D8F5" w14:textId="77777777" w:rsidR="00D14A5E" w:rsidRPr="00140C18" w:rsidRDefault="00D14A5E" w:rsidP="00DE6AB7">
      <w:pPr>
        <w:ind w:hanging="720"/>
      </w:pPr>
    </w:p>
    <w:p w14:paraId="067663EF" w14:textId="77777777" w:rsidR="00116A84" w:rsidRPr="00140C18" w:rsidRDefault="00116A84" w:rsidP="00DE6AB7">
      <w:pPr>
        <w:ind w:hanging="720"/>
      </w:pPr>
      <w:r w:rsidRPr="00140C18">
        <w:t>Anderson, G. L. (1994). Studying Your Own School. An Educator's Guide to Qualitative Practitioner Research. Corwin Press, Inc., 2455 Teller Road, Thousand Oaks, CA 91320..</w:t>
      </w:r>
    </w:p>
    <w:p w14:paraId="41413B5B" w14:textId="7E8EF7F5" w:rsidR="002D5609" w:rsidRPr="00140C18" w:rsidRDefault="002D5609" w:rsidP="00DE6AB7">
      <w:pPr>
        <w:ind w:hanging="720"/>
      </w:pPr>
    </w:p>
    <w:p w14:paraId="0BFDE3A6" w14:textId="7BC86CC7" w:rsidR="00D716E1" w:rsidRPr="00140C18" w:rsidRDefault="002D5609" w:rsidP="00DE6AB7">
      <w:pPr>
        <w:ind w:hanging="720"/>
      </w:pPr>
      <w:r w:rsidRPr="00140C18">
        <w:rPr>
          <w:shd w:val="clear" w:color="auto" w:fill="FFFFFF"/>
        </w:rPr>
        <w:t>Asselin, M. E. (2003). Insider research: Issues to consider when doing qualitative research in your own setting. </w:t>
      </w:r>
      <w:r w:rsidRPr="00140C18">
        <w:rPr>
          <w:i/>
          <w:iCs/>
          <w:shd w:val="clear" w:color="auto" w:fill="FFFFFF"/>
        </w:rPr>
        <w:t>Journal for Nurses in Professional Development</w:t>
      </w:r>
      <w:r w:rsidRPr="00140C18">
        <w:rPr>
          <w:shd w:val="clear" w:color="auto" w:fill="FFFFFF"/>
        </w:rPr>
        <w:t>, </w:t>
      </w:r>
      <w:r w:rsidRPr="00140C18">
        <w:rPr>
          <w:i/>
          <w:iCs/>
          <w:shd w:val="clear" w:color="auto" w:fill="FFFFFF"/>
        </w:rPr>
        <w:t>19</w:t>
      </w:r>
      <w:r w:rsidRPr="00140C18">
        <w:rPr>
          <w:shd w:val="clear" w:color="auto" w:fill="FFFFFF"/>
        </w:rPr>
        <w:t>(2), 99-103.</w:t>
      </w:r>
    </w:p>
    <w:p w14:paraId="08F8F0AE" w14:textId="77777777" w:rsidR="000D72A3" w:rsidRPr="00140C18" w:rsidRDefault="000D72A3" w:rsidP="00DE6AB7">
      <w:pPr>
        <w:ind w:hanging="720"/>
      </w:pPr>
    </w:p>
    <w:p w14:paraId="5135F08B" w14:textId="77777777" w:rsidR="000D72A3" w:rsidRPr="00140C18" w:rsidRDefault="000D72A3" w:rsidP="00DE6AB7">
      <w:pPr>
        <w:ind w:hanging="720"/>
      </w:pPr>
      <w:r w:rsidRPr="00140C18">
        <w:t>Athanases, S. Z., Banes, L. C., &amp; Wong, J. W. (2015). Diverse language profiles: Leveraging resources of potential bilingual teachers of color. Bilingual Research Journal, 38(1), 65-87.</w:t>
      </w:r>
    </w:p>
    <w:p w14:paraId="508B417C" w14:textId="77777777" w:rsidR="000D72A3" w:rsidRPr="00140C18" w:rsidRDefault="000D72A3" w:rsidP="00DE6AB7">
      <w:pPr>
        <w:ind w:hanging="720"/>
      </w:pPr>
    </w:p>
    <w:p w14:paraId="0BDA0540" w14:textId="77777777" w:rsidR="008F71AA" w:rsidRPr="00140C18" w:rsidRDefault="00D716E1" w:rsidP="008F71AA">
      <w:pPr>
        <w:ind w:hanging="720"/>
      </w:pPr>
      <w:r w:rsidRPr="00140C18">
        <w:t>Auwarter, A. E., &amp; Aruguete, M. S. (2008). Effects of student gender and socioeconomic status on teacher perceptions. The Journal of Educational Research, 101(4), 242-246.</w:t>
      </w:r>
    </w:p>
    <w:p w14:paraId="0E0CC7E1" w14:textId="77777777" w:rsidR="008F71AA" w:rsidRPr="00140C18" w:rsidRDefault="008F71AA" w:rsidP="008F71AA">
      <w:pPr>
        <w:ind w:hanging="720"/>
      </w:pPr>
    </w:p>
    <w:p w14:paraId="69DC4C2E" w14:textId="60E00AD7" w:rsidR="008F71AA" w:rsidRPr="00140C18" w:rsidRDefault="008F71AA" w:rsidP="008F71AA">
      <w:pPr>
        <w:ind w:hanging="720"/>
      </w:pPr>
      <w:r w:rsidRPr="00140C18">
        <w:rPr>
          <w:color w:val="FF0000"/>
        </w:rPr>
        <w:t>Blaxter, L., Hughes, C., &amp; Tight, M. (2010). How to Research (4th edn). Buckingham: Open University Press.</w:t>
      </w:r>
    </w:p>
    <w:p w14:paraId="408F14FC" w14:textId="77777777" w:rsidR="00094642" w:rsidRPr="00140C18" w:rsidRDefault="00094642" w:rsidP="00DE6AB7">
      <w:pPr>
        <w:ind w:hanging="720"/>
      </w:pPr>
    </w:p>
    <w:p w14:paraId="557E36F2" w14:textId="77777777" w:rsidR="00FB4DA8" w:rsidRPr="00140C18" w:rsidRDefault="00094642" w:rsidP="00FB4DA8">
      <w:pPr>
        <w:ind w:hanging="720"/>
      </w:pPr>
      <w:r w:rsidRPr="00140C18">
        <w:t xml:space="preserve">Borko, H., Liston, D., &amp; Whitcomb, J. A. (2007). Genres of empirical research in teacher education. Retrieved from: </w:t>
      </w:r>
      <w:hyperlink r:id="rId8" w:history="1">
        <w:r w:rsidR="0091744C" w:rsidRPr="00140C18">
          <w:rPr>
            <w:rStyle w:val="Hyperlink"/>
          </w:rPr>
          <w:t>http://journals.sagepub.com/doi/pdf/10.1177/0022487106296220</w:t>
        </w:r>
      </w:hyperlink>
    </w:p>
    <w:p w14:paraId="64EB8E49" w14:textId="77777777" w:rsidR="00FB4DA8" w:rsidRPr="00140C18" w:rsidRDefault="00FB4DA8" w:rsidP="00FB4DA8">
      <w:pPr>
        <w:ind w:hanging="720"/>
        <w:rPr>
          <w:color w:val="FF0000"/>
        </w:rPr>
      </w:pPr>
    </w:p>
    <w:p w14:paraId="667BB5E9" w14:textId="5C2A5493" w:rsidR="00C861B3" w:rsidRPr="00140C18" w:rsidRDefault="00FB4DA8" w:rsidP="00FB4DA8">
      <w:pPr>
        <w:ind w:hanging="720"/>
        <w:rPr>
          <w:color w:val="FF0000"/>
        </w:rPr>
      </w:pPr>
      <w:r w:rsidRPr="00140C18">
        <w:rPr>
          <w:color w:val="FF0000"/>
        </w:rPr>
        <w:t>Burton, D., &amp; Bartlett, S. (2004). Practitioner research for teachers. Retrieved from: https://books.google.co.nz/books?hl=en&amp;lr=&amp;id=Eilb_pHX5qAC</w:t>
      </w:r>
    </w:p>
    <w:p w14:paraId="5EFB7D97" w14:textId="77777777" w:rsidR="00011254" w:rsidRPr="00140C18" w:rsidRDefault="00011254" w:rsidP="00FB4DA8">
      <w:pPr>
        <w:ind w:hanging="720"/>
      </w:pPr>
    </w:p>
    <w:p w14:paraId="61F4E72A" w14:textId="77777777" w:rsidR="008F71AA" w:rsidRPr="00140C18" w:rsidRDefault="00C861B3" w:rsidP="008F71AA">
      <w:pPr>
        <w:ind w:hanging="720"/>
      </w:pPr>
      <w:r w:rsidRPr="00140C18">
        <w:lastRenderedPageBreak/>
        <w:t>Cochran-Smith, M. (2004). Ask a different question, get a different answer: The research base for teacher education. Journal of Teacher Education, 55(2), 111-115.</w:t>
      </w:r>
    </w:p>
    <w:p w14:paraId="786085E1" w14:textId="77777777" w:rsidR="008F71AA" w:rsidRPr="00140C18" w:rsidRDefault="008F71AA" w:rsidP="008F71AA">
      <w:pPr>
        <w:ind w:hanging="720"/>
      </w:pPr>
    </w:p>
    <w:p w14:paraId="576175B2" w14:textId="77777777" w:rsidR="00011254" w:rsidRPr="00140C18" w:rsidRDefault="00545943" w:rsidP="00011254">
      <w:pPr>
        <w:ind w:hanging="720"/>
      </w:pPr>
      <w:r w:rsidRPr="00140C18">
        <w:t>Cochran-Smith, M., &amp; Lytle, S. L. (2009). Inquiry as stance: Practitioner research for the next generation. Teachers College Press.</w:t>
      </w:r>
    </w:p>
    <w:p w14:paraId="7B5A7EEA" w14:textId="2219EB38" w:rsidR="00011254" w:rsidRPr="00140C18" w:rsidRDefault="00011254" w:rsidP="00011254">
      <w:pPr>
        <w:ind w:hanging="720"/>
      </w:pPr>
      <w:r w:rsidRPr="00140C18">
        <w:rPr>
          <w:color w:val="FF0000"/>
        </w:rPr>
        <w:t>Cohen, L., Manion, L &amp; Morrison, K. 2007. Research methods in education 5th Edition. New York: Routledge</w:t>
      </w:r>
    </w:p>
    <w:p w14:paraId="753E810A" w14:textId="77777777" w:rsidR="00C1088D" w:rsidRPr="00140C18" w:rsidRDefault="00C1088D" w:rsidP="00C1088D">
      <w:pPr>
        <w:ind w:hanging="720"/>
      </w:pPr>
    </w:p>
    <w:p w14:paraId="1492F153" w14:textId="21E5D0CA" w:rsidR="00C1088D" w:rsidRPr="00140C18" w:rsidRDefault="00C1088D" w:rsidP="00C1088D">
      <w:pPr>
        <w:ind w:hanging="720"/>
      </w:pPr>
      <w:r w:rsidRPr="00140C18">
        <w:rPr>
          <w:color w:val="222222"/>
          <w:shd w:val="clear" w:color="auto" w:fill="FFFFFF"/>
        </w:rPr>
        <w:t>Cook, T. D. (2015). Quasi‐experimental design. </w:t>
      </w:r>
      <w:r w:rsidRPr="00140C18">
        <w:rPr>
          <w:i/>
          <w:iCs/>
          <w:color w:val="222222"/>
          <w:shd w:val="clear" w:color="auto" w:fill="FFFFFF"/>
        </w:rPr>
        <w:t>Wiley Encyclopedia of Management</w:t>
      </w:r>
      <w:r w:rsidRPr="00140C18">
        <w:rPr>
          <w:color w:val="222222"/>
          <w:shd w:val="clear" w:color="auto" w:fill="FFFFFF"/>
        </w:rPr>
        <w:t>.</w:t>
      </w:r>
    </w:p>
    <w:p w14:paraId="53729C1B" w14:textId="77777777" w:rsidR="008F71AA" w:rsidRPr="00140C18" w:rsidRDefault="008F71AA" w:rsidP="008F71AA">
      <w:pPr>
        <w:ind w:hanging="720"/>
      </w:pPr>
    </w:p>
    <w:p w14:paraId="4EB0C8E3" w14:textId="7DEEF67A" w:rsidR="008F71AA" w:rsidRPr="00140C18" w:rsidRDefault="008F71AA" w:rsidP="008F71AA">
      <w:pPr>
        <w:ind w:hanging="720"/>
      </w:pPr>
      <w:r w:rsidRPr="00140C18">
        <w:rPr>
          <w:color w:val="FF0000"/>
        </w:rPr>
        <w:t>Creswell, J. W. (2003). Research design. Qualitative, Quantitative, and mixed methods approaches (2nd edn). Retrieved from: http://colinmayfield.com/public/WaterHealthSept2015/course2/content/Resources/RESEARCH%20DESIGN%20QUA%20QUAN%20(1).pdf</w:t>
      </w:r>
    </w:p>
    <w:p w14:paraId="11C259AF" w14:textId="7A8F5FFD" w:rsidR="00222791" w:rsidRPr="00140C18" w:rsidRDefault="00222791" w:rsidP="00DE6AB7">
      <w:pPr>
        <w:ind w:hanging="720"/>
      </w:pPr>
    </w:p>
    <w:p w14:paraId="0EC17AA2" w14:textId="2BA2CDD3" w:rsidR="00222791" w:rsidRPr="00140C18" w:rsidRDefault="00222791" w:rsidP="00DE6AB7">
      <w:pPr>
        <w:ind w:hanging="720"/>
      </w:pPr>
      <w:r w:rsidRPr="00140C18">
        <w:t>Dee, T. S. (2004). Teachers, race, and student achievement in a randomized experiment. The Review of Economics and Statistics, 86(1), 195-210.</w:t>
      </w:r>
    </w:p>
    <w:p w14:paraId="1FBED6E5" w14:textId="1A3E75E7" w:rsidR="006954F8" w:rsidRPr="00140C18" w:rsidRDefault="006954F8" w:rsidP="00DE6AB7">
      <w:pPr>
        <w:ind w:hanging="720"/>
      </w:pPr>
      <w:r w:rsidRPr="00140C18">
        <w:t>Ermeling, B. A. (2010). Tracing the effects of teacher inquiry on classroom practice. Teaching and teacher education, 26(3), 377-388.</w:t>
      </w:r>
    </w:p>
    <w:p w14:paraId="486C5749" w14:textId="77777777" w:rsidR="00C01299" w:rsidRPr="00140C18" w:rsidRDefault="00C01299" w:rsidP="00DE6AB7">
      <w:pPr>
        <w:ind w:hanging="720"/>
        <w:rPr>
          <w:shd w:val="clear" w:color="auto" w:fill="FFFFFF"/>
        </w:rPr>
      </w:pPr>
    </w:p>
    <w:p w14:paraId="2CBEEC72" w14:textId="4C87627F" w:rsidR="00C01299" w:rsidRPr="00140C18" w:rsidRDefault="00C01299" w:rsidP="00DE6AB7">
      <w:pPr>
        <w:ind w:hanging="720"/>
      </w:pPr>
      <w:r w:rsidRPr="00140C18">
        <w:rPr>
          <w:shd w:val="clear" w:color="auto" w:fill="FFFFFF"/>
        </w:rPr>
        <w:t>Flick, U. (2015). </w:t>
      </w:r>
      <w:r w:rsidRPr="00140C18">
        <w:rPr>
          <w:i/>
          <w:iCs/>
          <w:shd w:val="clear" w:color="auto" w:fill="FFFFFF"/>
        </w:rPr>
        <w:t>Introducing research methodology: A beginner's guide to doing a research project</w:t>
      </w:r>
      <w:r w:rsidRPr="00140C18">
        <w:rPr>
          <w:shd w:val="clear" w:color="auto" w:fill="FFFFFF"/>
        </w:rPr>
        <w:t>. Retrieved from: https://books.google.co.nz/books?hl=en&amp;lr=&amp;id=jcOICwAAQBAJ&amp;oi=fnd&amp;pg=PP1&amp;dq=%22A+research+question+should%22&amp;ots=rrOyeU13a0&amp;sig=zq6BnoKWZMNunW5o7ZkAyzgXDZM#v=snippet&amp;q=%22A%20research%20question%20should%22&amp;f=false</w:t>
      </w:r>
      <w:r w:rsidRPr="00140C18">
        <w:t xml:space="preserve"> </w:t>
      </w:r>
    </w:p>
    <w:p w14:paraId="0949A418" w14:textId="77777777" w:rsidR="00E068F0" w:rsidRPr="00140C18" w:rsidRDefault="00E068F0" w:rsidP="00DE6AB7">
      <w:pPr>
        <w:ind w:hanging="720"/>
      </w:pPr>
    </w:p>
    <w:p w14:paraId="6928E86F" w14:textId="03553541" w:rsidR="00E068F0" w:rsidRPr="00140C18" w:rsidRDefault="00E068F0" w:rsidP="00DE6AB7">
      <w:pPr>
        <w:ind w:hanging="720"/>
      </w:pPr>
      <w:r w:rsidRPr="00140C18">
        <w:t>Gallimore, R., Ermeling, B. A., Saunders, W. M., &amp; Goldenberg, C. (2009). Moving the learning of teaching closer to practice: Teacher education implications of school-based inquiry teams. The elementary school journal, 109(5), 537-553.</w:t>
      </w:r>
    </w:p>
    <w:p w14:paraId="40E7B9A6" w14:textId="77777777" w:rsidR="009F2725" w:rsidRPr="00140C18" w:rsidRDefault="009F2725" w:rsidP="00DE6AB7">
      <w:pPr>
        <w:ind w:hanging="720"/>
        <w:rPr>
          <w:color w:val="FF0000"/>
        </w:rPr>
      </w:pPr>
    </w:p>
    <w:p w14:paraId="62E4D25C" w14:textId="6A470069" w:rsidR="009F2725" w:rsidRPr="00140C18" w:rsidRDefault="009F2725" w:rsidP="00DE6AB7">
      <w:pPr>
        <w:ind w:hanging="720"/>
        <w:rPr>
          <w:color w:val="FF0000"/>
        </w:rPr>
      </w:pPr>
      <w:r w:rsidRPr="00140C18">
        <w:rPr>
          <w:color w:val="FF0000"/>
        </w:rPr>
        <w:t>Gibbs, G., &amp; Simpson, C. (2005). Conditions under which assessment supports students’ learning. Learning and teaching in higher education, (1), 3-31.</w:t>
      </w:r>
    </w:p>
    <w:p w14:paraId="76E8B59C" w14:textId="77777777" w:rsidR="009F2725" w:rsidRPr="00140C18" w:rsidRDefault="009F2725" w:rsidP="00DE6AB7">
      <w:pPr>
        <w:ind w:hanging="720"/>
      </w:pPr>
    </w:p>
    <w:p w14:paraId="00DA8545" w14:textId="77777777" w:rsidR="00D80571" w:rsidRPr="00140C18" w:rsidRDefault="00D80571" w:rsidP="00DE6AB7">
      <w:pPr>
        <w:ind w:hanging="720"/>
      </w:pPr>
    </w:p>
    <w:p w14:paraId="38895DC9" w14:textId="77777777" w:rsidR="008F71AA" w:rsidRPr="00140C18" w:rsidRDefault="00D80571" w:rsidP="008F71AA">
      <w:pPr>
        <w:ind w:hanging="720"/>
      </w:pPr>
      <w:r w:rsidRPr="00140C18">
        <w:t>Goubil-Gambrell, P. (1992). A practitioner's guide to research methods. Technical communication, 582-591.</w:t>
      </w:r>
    </w:p>
    <w:p w14:paraId="46F3BA13" w14:textId="77777777" w:rsidR="008F71AA" w:rsidRPr="00140C18" w:rsidRDefault="008F71AA" w:rsidP="008F71AA">
      <w:pPr>
        <w:ind w:hanging="720"/>
      </w:pPr>
    </w:p>
    <w:p w14:paraId="437DD26F" w14:textId="4467389D" w:rsidR="008F71AA" w:rsidRPr="00140C18" w:rsidRDefault="008F71AA" w:rsidP="008F71AA">
      <w:pPr>
        <w:ind w:hanging="720"/>
      </w:pPr>
      <w:r w:rsidRPr="00140C18">
        <w:rPr>
          <w:color w:val="FF0000"/>
        </w:rPr>
        <w:t>Hallam, S., Ireson, J., Mortimore, P., &amp; Davies, J. (2000). Children's socialisation into schools' learning contexts: Ability grouping in the UK primary school.</w:t>
      </w:r>
    </w:p>
    <w:p w14:paraId="4905F400" w14:textId="087B1E33" w:rsidR="00D0612F" w:rsidRPr="00140C18" w:rsidRDefault="00D0612F" w:rsidP="00DE6AB7">
      <w:pPr>
        <w:ind w:hanging="720"/>
      </w:pPr>
    </w:p>
    <w:p w14:paraId="1EF7615B" w14:textId="77777777" w:rsidR="006112BF" w:rsidRPr="00140C18" w:rsidRDefault="006112BF" w:rsidP="00DE6AB7">
      <w:pPr>
        <w:ind w:hanging="720"/>
        <w:rPr>
          <w:color w:val="FF0000"/>
        </w:rPr>
      </w:pPr>
      <w:r w:rsidRPr="00140C18">
        <w:rPr>
          <w:color w:val="FF0000"/>
        </w:rPr>
        <w:t>Jabareen, Y. (2009). Building a conceptual framework: philosophy, definitions, and procedure. International Journal of qualitative methods, 8(4), 49-62.</w:t>
      </w:r>
    </w:p>
    <w:p w14:paraId="76424B1D" w14:textId="09110F54" w:rsidR="006112BF" w:rsidRPr="00140C18" w:rsidRDefault="006112BF" w:rsidP="00DE6AB7">
      <w:pPr>
        <w:ind w:hanging="720"/>
      </w:pPr>
    </w:p>
    <w:p w14:paraId="6E85AD1B" w14:textId="77777777" w:rsidR="006112BF" w:rsidRPr="00140C18" w:rsidRDefault="006112BF" w:rsidP="00DE6AB7">
      <w:pPr>
        <w:ind w:hanging="720"/>
      </w:pPr>
    </w:p>
    <w:p w14:paraId="12A3A9DF" w14:textId="77777777" w:rsidR="00483F9C" w:rsidRPr="00140C18" w:rsidRDefault="00483F9C" w:rsidP="00DE6AB7">
      <w:pPr>
        <w:ind w:hanging="720"/>
        <w:rPr>
          <w:color w:val="FF0000"/>
        </w:rPr>
      </w:pPr>
      <w:r w:rsidRPr="00140C18">
        <w:rPr>
          <w:color w:val="FF0000"/>
        </w:rPr>
        <w:t>Heath, H., &amp; Cowley, S. (2004). Developing a grounded theory approach: a comparison of Glaser and Strauss. International journal of nursing studies, 41(2), 141-150.</w:t>
      </w:r>
    </w:p>
    <w:p w14:paraId="795091B4" w14:textId="77777777" w:rsidR="008A3A07" w:rsidRPr="00140C18" w:rsidRDefault="008A3A07" w:rsidP="008A3A07">
      <w:pPr>
        <w:pStyle w:val="NormalWeb"/>
      </w:pPr>
      <w:r w:rsidRPr="00140C18">
        <w:rPr>
          <w:color w:val="333333"/>
          <w:shd w:val="clear" w:color="auto" w:fill="FFFFFF"/>
        </w:rPr>
        <w:t xml:space="preserve">Herr, K. &amp; Anderson, G. L. (2005). </w:t>
      </w:r>
      <w:r w:rsidRPr="00140C18">
        <w:rPr>
          <w:rStyle w:val="Emphasis"/>
          <w:color w:val="333333"/>
          <w:shd w:val="clear" w:color="auto" w:fill="FFFFFF"/>
        </w:rPr>
        <w:t>The action research dissertation: A guide for students and faculty</w:t>
      </w:r>
      <w:r w:rsidRPr="00140C18">
        <w:rPr>
          <w:color w:val="333333"/>
          <w:shd w:val="clear" w:color="auto" w:fill="FFFFFF"/>
        </w:rPr>
        <w:t> (pp. 29-48). Thousand Oaks, CA: SAGE Publications Ltd. doi: 10.4135/9781452226644</w:t>
      </w:r>
    </w:p>
    <w:p w14:paraId="2E63E007" w14:textId="3FE4BEBC" w:rsidR="00483F9C" w:rsidRPr="00140C18" w:rsidRDefault="00483F9C" w:rsidP="00DE6AB7">
      <w:pPr>
        <w:ind w:hanging="720"/>
      </w:pPr>
    </w:p>
    <w:p w14:paraId="4CC5706D" w14:textId="77777777" w:rsidR="00FE0A3A" w:rsidRPr="00140C18" w:rsidRDefault="00FE0A3A" w:rsidP="00FE0A3A">
      <w:pPr>
        <w:ind w:hanging="720"/>
        <w:rPr>
          <w:color w:val="FF0000"/>
        </w:rPr>
      </w:pPr>
    </w:p>
    <w:p w14:paraId="719E276A" w14:textId="4DA84E02" w:rsidR="00853B2E" w:rsidRPr="00140C18" w:rsidRDefault="00853B2E" w:rsidP="00FE0A3A">
      <w:pPr>
        <w:ind w:hanging="720"/>
        <w:rPr>
          <w:color w:val="FF0000"/>
        </w:rPr>
      </w:pPr>
      <w:r w:rsidRPr="00140C18">
        <w:t>Nye, B., Konstantopoulos, S., &amp; Hedges, L. V. (2004). How large are teacher effects?. Educational evaluation and policy analysis, 26(3), 237-257.</w:t>
      </w:r>
    </w:p>
    <w:p w14:paraId="65664BE8" w14:textId="207AE91C" w:rsidR="00831034" w:rsidRPr="00140C18" w:rsidRDefault="00831034" w:rsidP="00DE6AB7">
      <w:pPr>
        <w:ind w:hanging="720"/>
      </w:pPr>
    </w:p>
    <w:p w14:paraId="13793FBD" w14:textId="33D6492E" w:rsidR="00831034" w:rsidRPr="00140C18" w:rsidRDefault="00831034" w:rsidP="00DE6AB7">
      <w:pPr>
        <w:ind w:hanging="720"/>
      </w:pPr>
      <w:r w:rsidRPr="00140C18">
        <w:t xml:space="preserve">Edwin Markham Elementary. (2016). Edwin </w:t>
      </w:r>
      <w:r w:rsidRPr="00140C18">
        <w:rPr>
          <w:lang w:val="en-US"/>
        </w:rPr>
        <w:t xml:space="preserve">Markham Elementary School: Teachers. </w:t>
      </w:r>
      <w:r w:rsidRPr="00140C18">
        <w:t xml:space="preserve">Retrieved from: </w:t>
      </w:r>
      <w:hyperlink r:id="rId9" w:history="1">
        <w:r w:rsidR="00F52B9A" w:rsidRPr="00140C18">
          <w:rPr>
            <w:rStyle w:val="Hyperlink"/>
          </w:rPr>
          <w:t>https://web.archive.org/web/20160714114530/https://markham.schoolloop.com/staff</w:t>
        </w:r>
      </w:hyperlink>
    </w:p>
    <w:p w14:paraId="4B70B4C6" w14:textId="32A063EB" w:rsidR="00F52B9A" w:rsidRPr="00140C18" w:rsidRDefault="00F52B9A" w:rsidP="00DE6AB7">
      <w:pPr>
        <w:ind w:hanging="720"/>
      </w:pPr>
    </w:p>
    <w:p w14:paraId="4E25F3C1" w14:textId="3A3FDD8A" w:rsidR="00F52B9A" w:rsidRPr="00140C18" w:rsidRDefault="00F52B9A" w:rsidP="00DE6AB7">
      <w:pPr>
        <w:ind w:hanging="720"/>
      </w:pPr>
    </w:p>
    <w:p w14:paraId="6E56AD8A" w14:textId="77777777" w:rsidR="00F52B9A" w:rsidRPr="00140C18" w:rsidRDefault="00F52B9A" w:rsidP="00DE6AB7">
      <w:pPr>
        <w:ind w:hanging="720"/>
      </w:pPr>
    </w:p>
    <w:p w14:paraId="4948FC7A" w14:textId="77777777" w:rsidR="00845B3F" w:rsidRPr="00140C18" w:rsidRDefault="00F52B9A" w:rsidP="00845B3F">
      <w:pPr>
        <w:ind w:hanging="720"/>
      </w:pPr>
      <w:r w:rsidRPr="00140C18">
        <w:t xml:space="preserve">Mainini., M. (2017). Melissa Mainini – Linkedin. Retrieved from: </w:t>
      </w:r>
      <w:hyperlink r:id="rId10" w:history="1">
        <w:r w:rsidR="00845B3F" w:rsidRPr="00140C18">
          <w:rPr>
            <w:rStyle w:val="Hyperlink"/>
          </w:rPr>
          <w:t>https://www.linkedin.com/in/melissa-mainini-a5726657/</w:t>
        </w:r>
      </w:hyperlink>
    </w:p>
    <w:p w14:paraId="2F368D3B" w14:textId="2D62FB21" w:rsidR="00845B3F" w:rsidRPr="00140C18" w:rsidRDefault="00845B3F" w:rsidP="00845B3F">
      <w:pPr>
        <w:ind w:hanging="720"/>
      </w:pPr>
      <w:r w:rsidRPr="00140C18">
        <w:rPr>
          <w:color w:val="FF0000"/>
        </w:rPr>
        <w:t>Peshkin, A. (1982). The Researcher and Subjectivity: Reflections on an Ethnography of School and Community. In Spindler, G (Ed.),Doing the Ethnography of Schooling: Educational Anthropology in Action. New York: Holt, Rinehart &amp; Winston.</w:t>
      </w:r>
    </w:p>
    <w:p w14:paraId="75BD911D" w14:textId="77777777" w:rsidR="00845B3F" w:rsidRPr="00140C18" w:rsidRDefault="00845B3F" w:rsidP="00DE6AB7">
      <w:pPr>
        <w:ind w:hanging="720"/>
      </w:pPr>
    </w:p>
    <w:p w14:paraId="01306532" w14:textId="45A1EE5D" w:rsidR="0045576E" w:rsidRPr="00140C18" w:rsidRDefault="00436656" w:rsidP="00DE6AB7">
      <w:pPr>
        <w:pStyle w:val="NormalWeb"/>
        <w:ind w:hanging="720"/>
      </w:pPr>
      <w:r w:rsidRPr="00140C18">
        <w:t xml:space="preserve">University of California. (2018). Vulnerable Subject Populations. Retrieved from: </w:t>
      </w:r>
      <w:hyperlink r:id="rId11" w:history="1">
        <w:r w:rsidRPr="00140C18">
          <w:rPr>
            <w:rStyle w:val="Hyperlink"/>
          </w:rPr>
          <w:t>https://www.research.uci.edu/compliance/human-research-protections/researchers/vulnerable-subject-populations.html</w:t>
        </w:r>
      </w:hyperlink>
    </w:p>
    <w:p w14:paraId="5CC3E362" w14:textId="77777777" w:rsidR="00DE6AB7" w:rsidRPr="00140C18" w:rsidRDefault="00DE6AB7" w:rsidP="00DE6AB7">
      <w:pPr>
        <w:ind w:hanging="720"/>
        <w:rPr>
          <w:color w:val="FF0000"/>
        </w:rPr>
      </w:pPr>
      <w:r w:rsidRPr="00140C18">
        <w:rPr>
          <w:color w:val="FF0000"/>
        </w:rPr>
        <w:t>Wasserman, E. (2016). Perspectives from a New York High School Science Research Enrichment Program Teacher. In The Power and Promise of Early Research (pp. 59-69). American Chemical Society.</w:t>
      </w:r>
    </w:p>
    <w:p w14:paraId="70424C6F" w14:textId="23FD835C" w:rsidR="00B4432F" w:rsidRPr="00140C18" w:rsidRDefault="00B4432F" w:rsidP="00FE0A3A">
      <w:pPr>
        <w:pStyle w:val="NormalWeb"/>
      </w:pPr>
    </w:p>
    <w:p w14:paraId="1D1E32A7" w14:textId="3FA4E04C" w:rsidR="00CA4B38" w:rsidRPr="00140C18" w:rsidRDefault="00B4432F" w:rsidP="00FE0A3A">
      <w:pPr>
        <w:ind w:hanging="720"/>
        <w:rPr>
          <w:color w:val="FF0000"/>
        </w:rPr>
      </w:pPr>
      <w:r w:rsidRPr="00140C18">
        <w:rPr>
          <w:color w:val="FF0000"/>
        </w:rPr>
        <w:lastRenderedPageBreak/>
        <w:t>Wong, J. W., Athanases, S. Z., &amp; Banes, L. C. (2017). Developing as an agentive bilingual teacher: self-reflexive and student-learning inquiry as teacher education resources. International Journal of Bilingual Education and Bilingualism, 1-17.</w:t>
      </w:r>
    </w:p>
    <w:p w14:paraId="5F166896" w14:textId="4EA792CD" w:rsidR="00D14A5E" w:rsidRPr="00140C18" w:rsidRDefault="0045576E" w:rsidP="00FE0A3A">
      <w:pPr>
        <w:pStyle w:val="NormalWeb"/>
        <w:ind w:hanging="720"/>
      </w:pPr>
      <w:r w:rsidRPr="00140C18">
        <w:rPr>
          <w:color w:val="222222"/>
          <w:shd w:val="clear" w:color="auto" w:fill="FFFFFF"/>
        </w:rPr>
        <w:t>Van Uden, J. M., Ritzen, H., &amp; Pieters, J. M. (2014). Engaging students: The role of teacher beliefs and interpersonal teacher behavior in fostering student engagement in vocational education. </w:t>
      </w:r>
      <w:r w:rsidRPr="00140C18">
        <w:rPr>
          <w:i/>
          <w:iCs/>
          <w:color w:val="222222"/>
          <w:shd w:val="clear" w:color="auto" w:fill="FFFFFF"/>
        </w:rPr>
        <w:t>Teaching and Teacher Education</w:t>
      </w:r>
      <w:r w:rsidRPr="00140C18">
        <w:rPr>
          <w:color w:val="222222"/>
          <w:shd w:val="clear" w:color="auto" w:fill="FFFFFF"/>
        </w:rPr>
        <w:t>, </w:t>
      </w:r>
      <w:r w:rsidRPr="00140C18">
        <w:rPr>
          <w:i/>
          <w:iCs/>
          <w:color w:val="222222"/>
          <w:shd w:val="clear" w:color="auto" w:fill="FFFFFF"/>
        </w:rPr>
        <w:t>37</w:t>
      </w:r>
      <w:r w:rsidRPr="00140C18">
        <w:rPr>
          <w:color w:val="222222"/>
          <w:shd w:val="clear" w:color="auto" w:fill="FFFFFF"/>
        </w:rPr>
        <w:t>, 21-32.</w:t>
      </w:r>
    </w:p>
    <w:p w14:paraId="1323A14F" w14:textId="77777777" w:rsidR="00D14A5E" w:rsidRPr="00140C18" w:rsidRDefault="00D14A5E" w:rsidP="00DE6AB7">
      <w:pPr>
        <w:ind w:hanging="720"/>
        <w:rPr>
          <w:color w:val="FF0000"/>
        </w:rPr>
      </w:pPr>
      <w:r w:rsidRPr="00140C18">
        <w:rPr>
          <w:color w:val="FF0000"/>
        </w:rPr>
        <w:t>Vanassche, E., &amp; Kelchtermans, G. (2015). The state of the art in self-study of teacher education practices: A systematic literature review. Journal of curriculum studies, 47(4), 508-528.</w:t>
      </w:r>
    </w:p>
    <w:p w14:paraId="3C69A7B7" w14:textId="77777777" w:rsidR="00D14A5E" w:rsidRPr="00140C18" w:rsidRDefault="00D14A5E" w:rsidP="001118DF"/>
    <w:sectPr w:rsidR="00D14A5E" w:rsidRPr="00140C18" w:rsidSect="00FE0A3A">
      <w:headerReference w:type="default" r:id="rId12"/>
      <w:footerReference w:type="default" r:id="rId13"/>
      <w:headerReference w:type="first" r:id="rId14"/>
      <w:pgSz w:w="11900" w:h="16840"/>
      <w:pgMar w:top="1440" w:right="1440" w:bottom="1440" w:left="1440" w:header="510" w:footer="51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0738D" w14:textId="77777777" w:rsidR="00323B5D" w:rsidRDefault="00323B5D" w:rsidP="00D038FF">
      <w:pPr>
        <w:spacing w:line="240" w:lineRule="auto"/>
      </w:pPr>
      <w:r>
        <w:separator/>
      </w:r>
    </w:p>
  </w:endnote>
  <w:endnote w:type="continuationSeparator" w:id="0">
    <w:p w14:paraId="3B2C7DA4" w14:textId="77777777" w:rsidR="00323B5D" w:rsidRDefault="00323B5D" w:rsidP="00D03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741695"/>
      <w:docPartObj>
        <w:docPartGallery w:val="Page Numbers (Bottom of Page)"/>
        <w:docPartUnique/>
      </w:docPartObj>
    </w:sdtPr>
    <w:sdtEndPr>
      <w:rPr>
        <w:noProof/>
      </w:rPr>
    </w:sdtEndPr>
    <w:sdtContent>
      <w:p w14:paraId="59EA735D" w14:textId="6C5F6477" w:rsidR="008D4AFE" w:rsidRDefault="008D4AFE">
        <w:pPr>
          <w:pStyle w:val="Footer"/>
        </w:pPr>
        <w:r>
          <w:fldChar w:fldCharType="begin"/>
        </w:r>
        <w:r>
          <w:instrText xml:space="preserve"> PAGE   \* MERGEFORMAT </w:instrText>
        </w:r>
        <w:r>
          <w:fldChar w:fldCharType="separate"/>
        </w:r>
        <w:r w:rsidR="00DC3745">
          <w:rPr>
            <w:noProof/>
          </w:rPr>
          <w:t>2</w:t>
        </w:r>
        <w:r>
          <w:rPr>
            <w:noProof/>
          </w:rPr>
          <w:fldChar w:fldCharType="end"/>
        </w:r>
      </w:p>
    </w:sdtContent>
  </w:sdt>
  <w:p w14:paraId="124C4F19" w14:textId="77777777" w:rsidR="008D4AFE" w:rsidRDefault="008D4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103BC" w14:textId="77777777" w:rsidR="00323B5D" w:rsidRDefault="00323B5D" w:rsidP="00D038FF">
      <w:pPr>
        <w:spacing w:line="240" w:lineRule="auto"/>
      </w:pPr>
      <w:r>
        <w:separator/>
      </w:r>
    </w:p>
  </w:footnote>
  <w:footnote w:type="continuationSeparator" w:id="0">
    <w:p w14:paraId="170238F2" w14:textId="77777777" w:rsidR="00323B5D" w:rsidRDefault="00323B5D" w:rsidP="00D038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4B953" w14:textId="77777777" w:rsidR="008D4AFE" w:rsidRDefault="008D4AFE" w:rsidP="00D038FF">
    <w:pPr>
      <w:spacing w:line="276" w:lineRule="auto"/>
    </w:pPr>
    <w:r w:rsidRPr="00F948A8">
      <w:t>EDPRAC 751</w:t>
    </w:r>
    <w:r>
      <w:t xml:space="preserve"> –</w:t>
    </w:r>
    <w:r w:rsidRPr="001118DF">
      <w:t xml:space="preserve"> Assignment 1</w:t>
    </w:r>
  </w:p>
  <w:p w14:paraId="1530E707" w14:textId="77777777" w:rsidR="008D4AFE" w:rsidRDefault="008D4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7FA3F" w14:textId="09DC06A7" w:rsidR="008D4AFE" w:rsidRDefault="008D4AFE" w:rsidP="0024323A">
    <w:pPr>
      <w:spacing w:line="276" w:lineRule="auto"/>
    </w:pPr>
    <w:r>
      <w:t xml:space="preserve">RUNNING HEAD: </w:t>
    </w:r>
    <w:r w:rsidRPr="00F948A8">
      <w:t>EDPRAC 751</w:t>
    </w:r>
    <w:r>
      <w:t xml:space="preserve"> –</w:t>
    </w:r>
    <w:r w:rsidRPr="001118DF">
      <w:t xml:space="preserve"> Assignment 1</w:t>
    </w:r>
  </w:p>
  <w:p w14:paraId="492C1B94" w14:textId="77777777" w:rsidR="008D4AFE" w:rsidRDefault="008D4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0F"/>
    <w:multiLevelType w:val="hybridMultilevel"/>
    <w:tmpl w:val="E04E8A38"/>
    <w:lvl w:ilvl="0" w:tplc="57E8DC26">
      <w:start w:val="1"/>
      <w:numFmt w:val="decimal"/>
      <w:lvlText w:val="%1."/>
      <w:lvlJc w:val="left"/>
      <w:pPr>
        <w:tabs>
          <w:tab w:val="num" w:pos="600"/>
        </w:tabs>
        <w:ind w:left="600" w:hanging="360"/>
      </w:pPr>
      <w:rPr>
        <w:rFonts w:hint="default"/>
      </w:rPr>
    </w:lvl>
    <w:lvl w:ilvl="1" w:tplc="00190409" w:tentative="1">
      <w:start w:val="1"/>
      <w:numFmt w:val="lowerLetter"/>
      <w:lvlText w:val="%2."/>
      <w:lvlJc w:val="left"/>
      <w:pPr>
        <w:tabs>
          <w:tab w:val="num" w:pos="1320"/>
        </w:tabs>
        <w:ind w:left="1320" w:hanging="360"/>
      </w:pPr>
    </w:lvl>
    <w:lvl w:ilvl="2" w:tplc="001B0409" w:tentative="1">
      <w:start w:val="1"/>
      <w:numFmt w:val="lowerRoman"/>
      <w:lvlText w:val="%3."/>
      <w:lvlJc w:val="right"/>
      <w:pPr>
        <w:tabs>
          <w:tab w:val="num" w:pos="2040"/>
        </w:tabs>
        <w:ind w:left="2040" w:hanging="180"/>
      </w:pPr>
    </w:lvl>
    <w:lvl w:ilvl="3" w:tplc="000F0409" w:tentative="1">
      <w:start w:val="1"/>
      <w:numFmt w:val="decimal"/>
      <w:lvlText w:val="%4."/>
      <w:lvlJc w:val="left"/>
      <w:pPr>
        <w:tabs>
          <w:tab w:val="num" w:pos="2760"/>
        </w:tabs>
        <w:ind w:left="2760" w:hanging="360"/>
      </w:pPr>
    </w:lvl>
    <w:lvl w:ilvl="4" w:tplc="00190409" w:tentative="1">
      <w:start w:val="1"/>
      <w:numFmt w:val="lowerLetter"/>
      <w:lvlText w:val="%5."/>
      <w:lvlJc w:val="left"/>
      <w:pPr>
        <w:tabs>
          <w:tab w:val="num" w:pos="3480"/>
        </w:tabs>
        <w:ind w:left="3480" w:hanging="360"/>
      </w:pPr>
    </w:lvl>
    <w:lvl w:ilvl="5" w:tplc="001B0409" w:tentative="1">
      <w:start w:val="1"/>
      <w:numFmt w:val="lowerRoman"/>
      <w:lvlText w:val="%6."/>
      <w:lvlJc w:val="right"/>
      <w:pPr>
        <w:tabs>
          <w:tab w:val="num" w:pos="4200"/>
        </w:tabs>
        <w:ind w:left="4200" w:hanging="180"/>
      </w:pPr>
    </w:lvl>
    <w:lvl w:ilvl="6" w:tplc="000F0409" w:tentative="1">
      <w:start w:val="1"/>
      <w:numFmt w:val="decimal"/>
      <w:lvlText w:val="%7."/>
      <w:lvlJc w:val="left"/>
      <w:pPr>
        <w:tabs>
          <w:tab w:val="num" w:pos="4920"/>
        </w:tabs>
        <w:ind w:left="4920" w:hanging="360"/>
      </w:pPr>
    </w:lvl>
    <w:lvl w:ilvl="7" w:tplc="00190409" w:tentative="1">
      <w:start w:val="1"/>
      <w:numFmt w:val="lowerLetter"/>
      <w:lvlText w:val="%8."/>
      <w:lvlJc w:val="left"/>
      <w:pPr>
        <w:tabs>
          <w:tab w:val="num" w:pos="5640"/>
        </w:tabs>
        <w:ind w:left="5640" w:hanging="360"/>
      </w:pPr>
    </w:lvl>
    <w:lvl w:ilvl="8" w:tplc="001B0409" w:tentative="1">
      <w:start w:val="1"/>
      <w:numFmt w:val="lowerRoman"/>
      <w:lvlText w:val="%9."/>
      <w:lvlJc w:val="right"/>
      <w:pPr>
        <w:tabs>
          <w:tab w:val="num" w:pos="6360"/>
        </w:tabs>
        <w:ind w:left="6360" w:hanging="180"/>
      </w:pPr>
    </w:lvl>
  </w:abstractNum>
  <w:abstractNum w:abstractNumId="1" w15:restartNumberingAfterBreak="0">
    <w:nsid w:val="13764B7C"/>
    <w:multiLevelType w:val="hybridMultilevel"/>
    <w:tmpl w:val="9CE8F570"/>
    <w:lvl w:ilvl="0" w:tplc="57E8DC26">
      <w:start w:val="1"/>
      <w:numFmt w:val="decimal"/>
      <w:lvlText w:val="%1."/>
      <w:lvlJc w:val="left"/>
      <w:pPr>
        <w:tabs>
          <w:tab w:val="num" w:pos="600"/>
        </w:tabs>
        <w:ind w:left="600" w:hanging="360"/>
      </w:pPr>
      <w:rPr>
        <w:rFonts w:hint="default"/>
      </w:rPr>
    </w:lvl>
    <w:lvl w:ilvl="1" w:tplc="00190409" w:tentative="1">
      <w:start w:val="1"/>
      <w:numFmt w:val="lowerLetter"/>
      <w:lvlText w:val="%2."/>
      <w:lvlJc w:val="left"/>
      <w:pPr>
        <w:tabs>
          <w:tab w:val="num" w:pos="1320"/>
        </w:tabs>
        <w:ind w:left="1320" w:hanging="360"/>
      </w:pPr>
    </w:lvl>
    <w:lvl w:ilvl="2" w:tplc="001B0409" w:tentative="1">
      <w:start w:val="1"/>
      <w:numFmt w:val="lowerRoman"/>
      <w:lvlText w:val="%3."/>
      <w:lvlJc w:val="right"/>
      <w:pPr>
        <w:tabs>
          <w:tab w:val="num" w:pos="2040"/>
        </w:tabs>
        <w:ind w:left="2040" w:hanging="180"/>
      </w:pPr>
    </w:lvl>
    <w:lvl w:ilvl="3" w:tplc="000F0409" w:tentative="1">
      <w:start w:val="1"/>
      <w:numFmt w:val="decimal"/>
      <w:lvlText w:val="%4."/>
      <w:lvlJc w:val="left"/>
      <w:pPr>
        <w:tabs>
          <w:tab w:val="num" w:pos="2760"/>
        </w:tabs>
        <w:ind w:left="2760" w:hanging="360"/>
      </w:pPr>
    </w:lvl>
    <w:lvl w:ilvl="4" w:tplc="00190409" w:tentative="1">
      <w:start w:val="1"/>
      <w:numFmt w:val="lowerLetter"/>
      <w:lvlText w:val="%5."/>
      <w:lvlJc w:val="left"/>
      <w:pPr>
        <w:tabs>
          <w:tab w:val="num" w:pos="3480"/>
        </w:tabs>
        <w:ind w:left="3480" w:hanging="360"/>
      </w:pPr>
    </w:lvl>
    <w:lvl w:ilvl="5" w:tplc="001B0409" w:tentative="1">
      <w:start w:val="1"/>
      <w:numFmt w:val="lowerRoman"/>
      <w:lvlText w:val="%6."/>
      <w:lvlJc w:val="right"/>
      <w:pPr>
        <w:tabs>
          <w:tab w:val="num" w:pos="4200"/>
        </w:tabs>
        <w:ind w:left="4200" w:hanging="180"/>
      </w:pPr>
    </w:lvl>
    <w:lvl w:ilvl="6" w:tplc="000F0409" w:tentative="1">
      <w:start w:val="1"/>
      <w:numFmt w:val="decimal"/>
      <w:lvlText w:val="%7."/>
      <w:lvlJc w:val="left"/>
      <w:pPr>
        <w:tabs>
          <w:tab w:val="num" w:pos="4920"/>
        </w:tabs>
        <w:ind w:left="4920" w:hanging="360"/>
      </w:pPr>
    </w:lvl>
    <w:lvl w:ilvl="7" w:tplc="00190409" w:tentative="1">
      <w:start w:val="1"/>
      <w:numFmt w:val="lowerLetter"/>
      <w:lvlText w:val="%8."/>
      <w:lvlJc w:val="left"/>
      <w:pPr>
        <w:tabs>
          <w:tab w:val="num" w:pos="5640"/>
        </w:tabs>
        <w:ind w:left="5640" w:hanging="360"/>
      </w:pPr>
    </w:lvl>
    <w:lvl w:ilvl="8" w:tplc="001B0409" w:tentative="1">
      <w:start w:val="1"/>
      <w:numFmt w:val="lowerRoman"/>
      <w:lvlText w:val="%9."/>
      <w:lvlJc w:val="right"/>
      <w:pPr>
        <w:tabs>
          <w:tab w:val="num" w:pos="6360"/>
        </w:tabs>
        <w:ind w:left="6360" w:hanging="180"/>
      </w:pPr>
    </w:lvl>
  </w:abstractNum>
  <w:abstractNum w:abstractNumId="2" w15:restartNumberingAfterBreak="0">
    <w:nsid w:val="13B06A20"/>
    <w:multiLevelType w:val="hybridMultilevel"/>
    <w:tmpl w:val="65C0F3C8"/>
    <w:lvl w:ilvl="0" w:tplc="57E8DC26">
      <w:start w:val="1"/>
      <w:numFmt w:val="decimal"/>
      <w:lvlText w:val="%1."/>
      <w:lvlJc w:val="left"/>
      <w:pPr>
        <w:tabs>
          <w:tab w:val="num" w:pos="600"/>
        </w:tabs>
        <w:ind w:left="600" w:hanging="360"/>
      </w:pPr>
      <w:rPr>
        <w:rFonts w:hint="default"/>
      </w:rPr>
    </w:lvl>
    <w:lvl w:ilvl="1" w:tplc="00190409" w:tentative="1">
      <w:start w:val="1"/>
      <w:numFmt w:val="lowerLetter"/>
      <w:lvlText w:val="%2."/>
      <w:lvlJc w:val="left"/>
      <w:pPr>
        <w:tabs>
          <w:tab w:val="num" w:pos="1320"/>
        </w:tabs>
        <w:ind w:left="1320" w:hanging="360"/>
      </w:pPr>
    </w:lvl>
    <w:lvl w:ilvl="2" w:tplc="001B0409" w:tentative="1">
      <w:start w:val="1"/>
      <w:numFmt w:val="lowerRoman"/>
      <w:lvlText w:val="%3."/>
      <w:lvlJc w:val="right"/>
      <w:pPr>
        <w:tabs>
          <w:tab w:val="num" w:pos="2040"/>
        </w:tabs>
        <w:ind w:left="2040" w:hanging="180"/>
      </w:pPr>
    </w:lvl>
    <w:lvl w:ilvl="3" w:tplc="000F0409" w:tentative="1">
      <w:start w:val="1"/>
      <w:numFmt w:val="decimal"/>
      <w:lvlText w:val="%4."/>
      <w:lvlJc w:val="left"/>
      <w:pPr>
        <w:tabs>
          <w:tab w:val="num" w:pos="2760"/>
        </w:tabs>
        <w:ind w:left="2760" w:hanging="360"/>
      </w:pPr>
    </w:lvl>
    <w:lvl w:ilvl="4" w:tplc="00190409" w:tentative="1">
      <w:start w:val="1"/>
      <w:numFmt w:val="lowerLetter"/>
      <w:lvlText w:val="%5."/>
      <w:lvlJc w:val="left"/>
      <w:pPr>
        <w:tabs>
          <w:tab w:val="num" w:pos="3480"/>
        </w:tabs>
        <w:ind w:left="3480" w:hanging="360"/>
      </w:pPr>
    </w:lvl>
    <w:lvl w:ilvl="5" w:tplc="001B0409" w:tentative="1">
      <w:start w:val="1"/>
      <w:numFmt w:val="lowerRoman"/>
      <w:lvlText w:val="%6."/>
      <w:lvlJc w:val="right"/>
      <w:pPr>
        <w:tabs>
          <w:tab w:val="num" w:pos="4200"/>
        </w:tabs>
        <w:ind w:left="4200" w:hanging="180"/>
      </w:pPr>
    </w:lvl>
    <w:lvl w:ilvl="6" w:tplc="000F0409" w:tentative="1">
      <w:start w:val="1"/>
      <w:numFmt w:val="decimal"/>
      <w:lvlText w:val="%7."/>
      <w:lvlJc w:val="left"/>
      <w:pPr>
        <w:tabs>
          <w:tab w:val="num" w:pos="4920"/>
        </w:tabs>
        <w:ind w:left="4920" w:hanging="360"/>
      </w:pPr>
    </w:lvl>
    <w:lvl w:ilvl="7" w:tplc="00190409" w:tentative="1">
      <w:start w:val="1"/>
      <w:numFmt w:val="lowerLetter"/>
      <w:lvlText w:val="%8."/>
      <w:lvlJc w:val="left"/>
      <w:pPr>
        <w:tabs>
          <w:tab w:val="num" w:pos="5640"/>
        </w:tabs>
        <w:ind w:left="5640" w:hanging="360"/>
      </w:pPr>
    </w:lvl>
    <w:lvl w:ilvl="8" w:tplc="001B0409" w:tentative="1">
      <w:start w:val="1"/>
      <w:numFmt w:val="lowerRoman"/>
      <w:lvlText w:val="%9."/>
      <w:lvlJc w:val="right"/>
      <w:pPr>
        <w:tabs>
          <w:tab w:val="num" w:pos="6360"/>
        </w:tabs>
        <w:ind w:left="6360" w:hanging="180"/>
      </w:pPr>
    </w:lvl>
  </w:abstractNum>
  <w:abstractNum w:abstractNumId="3" w15:restartNumberingAfterBreak="0">
    <w:nsid w:val="17C809A8"/>
    <w:multiLevelType w:val="hybridMultilevel"/>
    <w:tmpl w:val="22B0356C"/>
    <w:lvl w:ilvl="0" w:tplc="57E8DC26">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A02A7"/>
    <w:multiLevelType w:val="hybridMultilevel"/>
    <w:tmpl w:val="8C982680"/>
    <w:lvl w:ilvl="0" w:tplc="57E8DC26">
      <w:start w:val="1"/>
      <w:numFmt w:val="decimal"/>
      <w:lvlText w:val="%1."/>
      <w:lvlJc w:val="left"/>
      <w:pPr>
        <w:tabs>
          <w:tab w:val="num" w:pos="600"/>
        </w:tabs>
        <w:ind w:left="600" w:hanging="360"/>
      </w:pPr>
      <w:rPr>
        <w:rFonts w:hint="default"/>
      </w:rPr>
    </w:lvl>
    <w:lvl w:ilvl="1" w:tplc="00190409" w:tentative="1">
      <w:start w:val="1"/>
      <w:numFmt w:val="lowerLetter"/>
      <w:lvlText w:val="%2."/>
      <w:lvlJc w:val="left"/>
      <w:pPr>
        <w:tabs>
          <w:tab w:val="num" w:pos="1320"/>
        </w:tabs>
        <w:ind w:left="1320" w:hanging="360"/>
      </w:pPr>
    </w:lvl>
    <w:lvl w:ilvl="2" w:tplc="001B0409" w:tentative="1">
      <w:start w:val="1"/>
      <w:numFmt w:val="lowerRoman"/>
      <w:lvlText w:val="%3."/>
      <w:lvlJc w:val="right"/>
      <w:pPr>
        <w:tabs>
          <w:tab w:val="num" w:pos="2040"/>
        </w:tabs>
        <w:ind w:left="2040" w:hanging="180"/>
      </w:pPr>
    </w:lvl>
    <w:lvl w:ilvl="3" w:tplc="000F0409" w:tentative="1">
      <w:start w:val="1"/>
      <w:numFmt w:val="decimal"/>
      <w:lvlText w:val="%4."/>
      <w:lvlJc w:val="left"/>
      <w:pPr>
        <w:tabs>
          <w:tab w:val="num" w:pos="2760"/>
        </w:tabs>
        <w:ind w:left="2760" w:hanging="360"/>
      </w:pPr>
    </w:lvl>
    <w:lvl w:ilvl="4" w:tplc="00190409" w:tentative="1">
      <w:start w:val="1"/>
      <w:numFmt w:val="lowerLetter"/>
      <w:lvlText w:val="%5."/>
      <w:lvlJc w:val="left"/>
      <w:pPr>
        <w:tabs>
          <w:tab w:val="num" w:pos="3480"/>
        </w:tabs>
        <w:ind w:left="3480" w:hanging="360"/>
      </w:pPr>
    </w:lvl>
    <w:lvl w:ilvl="5" w:tplc="001B0409" w:tentative="1">
      <w:start w:val="1"/>
      <w:numFmt w:val="lowerRoman"/>
      <w:lvlText w:val="%6."/>
      <w:lvlJc w:val="right"/>
      <w:pPr>
        <w:tabs>
          <w:tab w:val="num" w:pos="4200"/>
        </w:tabs>
        <w:ind w:left="4200" w:hanging="180"/>
      </w:pPr>
    </w:lvl>
    <w:lvl w:ilvl="6" w:tplc="000F0409" w:tentative="1">
      <w:start w:val="1"/>
      <w:numFmt w:val="decimal"/>
      <w:lvlText w:val="%7."/>
      <w:lvlJc w:val="left"/>
      <w:pPr>
        <w:tabs>
          <w:tab w:val="num" w:pos="4920"/>
        </w:tabs>
        <w:ind w:left="4920" w:hanging="360"/>
      </w:pPr>
    </w:lvl>
    <w:lvl w:ilvl="7" w:tplc="00190409" w:tentative="1">
      <w:start w:val="1"/>
      <w:numFmt w:val="lowerLetter"/>
      <w:lvlText w:val="%8."/>
      <w:lvlJc w:val="left"/>
      <w:pPr>
        <w:tabs>
          <w:tab w:val="num" w:pos="5640"/>
        </w:tabs>
        <w:ind w:left="5640" w:hanging="360"/>
      </w:pPr>
    </w:lvl>
    <w:lvl w:ilvl="8" w:tplc="001B0409" w:tentative="1">
      <w:start w:val="1"/>
      <w:numFmt w:val="lowerRoman"/>
      <w:lvlText w:val="%9."/>
      <w:lvlJc w:val="right"/>
      <w:pPr>
        <w:tabs>
          <w:tab w:val="num" w:pos="6360"/>
        </w:tabs>
        <w:ind w:left="6360" w:hanging="180"/>
      </w:pPr>
    </w:lvl>
  </w:abstractNum>
  <w:abstractNum w:abstractNumId="5" w15:restartNumberingAfterBreak="0">
    <w:nsid w:val="2F5F164D"/>
    <w:multiLevelType w:val="hybridMultilevel"/>
    <w:tmpl w:val="8BA6CB4C"/>
    <w:lvl w:ilvl="0" w:tplc="57E8DC26">
      <w:start w:val="1"/>
      <w:numFmt w:val="decimal"/>
      <w:lvlText w:val="%1."/>
      <w:lvlJc w:val="left"/>
      <w:pPr>
        <w:tabs>
          <w:tab w:val="num" w:pos="473"/>
        </w:tabs>
        <w:ind w:left="473" w:hanging="360"/>
      </w:pPr>
      <w:rPr>
        <w:rFonts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70D53"/>
    <w:multiLevelType w:val="hybridMultilevel"/>
    <w:tmpl w:val="B374F026"/>
    <w:lvl w:ilvl="0" w:tplc="640CBC2E">
      <w:start w:val="5"/>
      <w:numFmt w:val="bullet"/>
      <w:lvlText w:val="-"/>
      <w:lvlJc w:val="left"/>
      <w:pPr>
        <w:ind w:left="720" w:hanging="360"/>
      </w:pPr>
      <w:rPr>
        <w:rFonts w:ascii="Cambria" w:eastAsiaTheme="minorEastAsia"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C9E5700"/>
    <w:multiLevelType w:val="hybridMultilevel"/>
    <w:tmpl w:val="B016ADEC"/>
    <w:lvl w:ilvl="0" w:tplc="57E8DC26">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D525BC"/>
    <w:multiLevelType w:val="hybridMultilevel"/>
    <w:tmpl w:val="D082B4CA"/>
    <w:lvl w:ilvl="0" w:tplc="57E8DC26">
      <w:start w:val="1"/>
      <w:numFmt w:val="decimal"/>
      <w:lvlText w:val="%1."/>
      <w:lvlJc w:val="left"/>
      <w:pPr>
        <w:tabs>
          <w:tab w:val="num" w:pos="473"/>
        </w:tabs>
        <w:ind w:left="473" w:hanging="360"/>
      </w:pPr>
      <w:rPr>
        <w:rFonts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392E50"/>
    <w:multiLevelType w:val="hybridMultilevel"/>
    <w:tmpl w:val="B4B056F4"/>
    <w:lvl w:ilvl="0" w:tplc="DF348332">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3"/>
  </w:num>
  <w:num w:numId="5">
    <w:abstractNumId w:val="1"/>
  </w:num>
  <w:num w:numId="6">
    <w:abstractNumId w:val="2"/>
  </w:num>
  <w:num w:numId="7">
    <w:abstractNumId w:val="0"/>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A5"/>
    <w:rsid w:val="000019E5"/>
    <w:rsid w:val="00011254"/>
    <w:rsid w:val="000122D6"/>
    <w:rsid w:val="000161CB"/>
    <w:rsid w:val="00017758"/>
    <w:rsid w:val="00026EB8"/>
    <w:rsid w:val="00030F13"/>
    <w:rsid w:val="000409E6"/>
    <w:rsid w:val="000438ED"/>
    <w:rsid w:val="00043C03"/>
    <w:rsid w:val="000467F9"/>
    <w:rsid w:val="00053259"/>
    <w:rsid w:val="00054CF1"/>
    <w:rsid w:val="00055699"/>
    <w:rsid w:val="00071C99"/>
    <w:rsid w:val="00080001"/>
    <w:rsid w:val="00080D14"/>
    <w:rsid w:val="00081BB9"/>
    <w:rsid w:val="00086878"/>
    <w:rsid w:val="00091B32"/>
    <w:rsid w:val="00094642"/>
    <w:rsid w:val="000A1D24"/>
    <w:rsid w:val="000A66B8"/>
    <w:rsid w:val="000B062B"/>
    <w:rsid w:val="000B1E09"/>
    <w:rsid w:val="000B4F2F"/>
    <w:rsid w:val="000C3688"/>
    <w:rsid w:val="000C52A6"/>
    <w:rsid w:val="000C5818"/>
    <w:rsid w:val="000D131F"/>
    <w:rsid w:val="000D3F83"/>
    <w:rsid w:val="000D4A65"/>
    <w:rsid w:val="000D72A3"/>
    <w:rsid w:val="000E1D7F"/>
    <w:rsid w:val="000E27E0"/>
    <w:rsid w:val="000E7D13"/>
    <w:rsid w:val="000F3124"/>
    <w:rsid w:val="000F73C3"/>
    <w:rsid w:val="00104BE7"/>
    <w:rsid w:val="0011056A"/>
    <w:rsid w:val="00110F2C"/>
    <w:rsid w:val="001118DF"/>
    <w:rsid w:val="00116A84"/>
    <w:rsid w:val="00117B74"/>
    <w:rsid w:val="00122F10"/>
    <w:rsid w:val="00124AC9"/>
    <w:rsid w:val="00131465"/>
    <w:rsid w:val="00132566"/>
    <w:rsid w:val="00140C18"/>
    <w:rsid w:val="0014257F"/>
    <w:rsid w:val="00145320"/>
    <w:rsid w:val="001530FF"/>
    <w:rsid w:val="001662DE"/>
    <w:rsid w:val="00167F8F"/>
    <w:rsid w:val="0017022A"/>
    <w:rsid w:val="0017185C"/>
    <w:rsid w:val="00176DFC"/>
    <w:rsid w:val="00182927"/>
    <w:rsid w:val="001833C7"/>
    <w:rsid w:val="00184345"/>
    <w:rsid w:val="001A2808"/>
    <w:rsid w:val="001A3C2A"/>
    <w:rsid w:val="001A497B"/>
    <w:rsid w:val="001B45E6"/>
    <w:rsid w:val="001C1A94"/>
    <w:rsid w:val="001C6284"/>
    <w:rsid w:val="001E43A3"/>
    <w:rsid w:val="001E75BD"/>
    <w:rsid w:val="001F4E5A"/>
    <w:rsid w:val="001F6B7C"/>
    <w:rsid w:val="002035C0"/>
    <w:rsid w:val="002077F4"/>
    <w:rsid w:val="00214628"/>
    <w:rsid w:val="0021620E"/>
    <w:rsid w:val="00217829"/>
    <w:rsid w:val="00222791"/>
    <w:rsid w:val="00225223"/>
    <w:rsid w:val="00227344"/>
    <w:rsid w:val="00234223"/>
    <w:rsid w:val="00236790"/>
    <w:rsid w:val="00236DA2"/>
    <w:rsid w:val="002403FD"/>
    <w:rsid w:val="0024295A"/>
    <w:rsid w:val="0024323A"/>
    <w:rsid w:val="00262769"/>
    <w:rsid w:val="002634C5"/>
    <w:rsid w:val="00265FD3"/>
    <w:rsid w:val="00267943"/>
    <w:rsid w:val="00271DE8"/>
    <w:rsid w:val="00272406"/>
    <w:rsid w:val="00274FE6"/>
    <w:rsid w:val="00276521"/>
    <w:rsid w:val="00282ACE"/>
    <w:rsid w:val="00283185"/>
    <w:rsid w:val="0028762D"/>
    <w:rsid w:val="0028764C"/>
    <w:rsid w:val="002907CF"/>
    <w:rsid w:val="002954AC"/>
    <w:rsid w:val="002A100C"/>
    <w:rsid w:val="002A424E"/>
    <w:rsid w:val="002A5D46"/>
    <w:rsid w:val="002A76AF"/>
    <w:rsid w:val="002B373B"/>
    <w:rsid w:val="002B5E20"/>
    <w:rsid w:val="002B6376"/>
    <w:rsid w:val="002C0483"/>
    <w:rsid w:val="002C137C"/>
    <w:rsid w:val="002C25BC"/>
    <w:rsid w:val="002C38FD"/>
    <w:rsid w:val="002C4988"/>
    <w:rsid w:val="002C59DF"/>
    <w:rsid w:val="002D06EE"/>
    <w:rsid w:val="002D47C5"/>
    <w:rsid w:val="002D5450"/>
    <w:rsid w:val="002D5609"/>
    <w:rsid w:val="002D6AE8"/>
    <w:rsid w:val="002E0591"/>
    <w:rsid w:val="002E7126"/>
    <w:rsid w:val="002F697C"/>
    <w:rsid w:val="002F73A4"/>
    <w:rsid w:val="002F7D79"/>
    <w:rsid w:val="003061D1"/>
    <w:rsid w:val="003070EC"/>
    <w:rsid w:val="003072BF"/>
    <w:rsid w:val="00315767"/>
    <w:rsid w:val="00323B5D"/>
    <w:rsid w:val="00326346"/>
    <w:rsid w:val="00331AB0"/>
    <w:rsid w:val="0033299D"/>
    <w:rsid w:val="00333078"/>
    <w:rsid w:val="00342C5E"/>
    <w:rsid w:val="00346155"/>
    <w:rsid w:val="0036041C"/>
    <w:rsid w:val="00366AAE"/>
    <w:rsid w:val="00367BD1"/>
    <w:rsid w:val="003756C6"/>
    <w:rsid w:val="00383DDA"/>
    <w:rsid w:val="00384870"/>
    <w:rsid w:val="003866F4"/>
    <w:rsid w:val="00392DC8"/>
    <w:rsid w:val="003963DB"/>
    <w:rsid w:val="0039667A"/>
    <w:rsid w:val="003A53BC"/>
    <w:rsid w:val="003A6E17"/>
    <w:rsid w:val="003B1813"/>
    <w:rsid w:val="003B3C84"/>
    <w:rsid w:val="003B3D20"/>
    <w:rsid w:val="003C171B"/>
    <w:rsid w:val="003C2ADA"/>
    <w:rsid w:val="003C357C"/>
    <w:rsid w:val="003C72D5"/>
    <w:rsid w:val="003D0A08"/>
    <w:rsid w:val="003D0B0C"/>
    <w:rsid w:val="003D1AEC"/>
    <w:rsid w:val="003D2D8B"/>
    <w:rsid w:val="003D6B40"/>
    <w:rsid w:val="003E0755"/>
    <w:rsid w:val="003E0F8A"/>
    <w:rsid w:val="003E3D70"/>
    <w:rsid w:val="003E7ECD"/>
    <w:rsid w:val="003F67A8"/>
    <w:rsid w:val="00410CDA"/>
    <w:rsid w:val="00420984"/>
    <w:rsid w:val="00427D0F"/>
    <w:rsid w:val="00434565"/>
    <w:rsid w:val="00434C9F"/>
    <w:rsid w:val="00436656"/>
    <w:rsid w:val="00437F01"/>
    <w:rsid w:val="00450043"/>
    <w:rsid w:val="00450B4D"/>
    <w:rsid w:val="0045576E"/>
    <w:rsid w:val="00455EAB"/>
    <w:rsid w:val="00457AAB"/>
    <w:rsid w:val="004628FE"/>
    <w:rsid w:val="00466AB1"/>
    <w:rsid w:val="00472D17"/>
    <w:rsid w:val="0047332C"/>
    <w:rsid w:val="00474FB1"/>
    <w:rsid w:val="00475310"/>
    <w:rsid w:val="0048380E"/>
    <w:rsid w:val="00483CC3"/>
    <w:rsid w:val="00483F9C"/>
    <w:rsid w:val="00485105"/>
    <w:rsid w:val="00486008"/>
    <w:rsid w:val="00497A1F"/>
    <w:rsid w:val="004B38A5"/>
    <w:rsid w:val="004C3B4C"/>
    <w:rsid w:val="004C401C"/>
    <w:rsid w:val="004C4897"/>
    <w:rsid w:val="004C617D"/>
    <w:rsid w:val="004D10E3"/>
    <w:rsid w:val="004D28BA"/>
    <w:rsid w:val="004D3654"/>
    <w:rsid w:val="004D452C"/>
    <w:rsid w:val="004E3E1E"/>
    <w:rsid w:val="004F2C26"/>
    <w:rsid w:val="004F33FB"/>
    <w:rsid w:val="004F37AC"/>
    <w:rsid w:val="004F451A"/>
    <w:rsid w:val="00501C21"/>
    <w:rsid w:val="005049E5"/>
    <w:rsid w:val="005052C2"/>
    <w:rsid w:val="0050542F"/>
    <w:rsid w:val="00506504"/>
    <w:rsid w:val="005115A4"/>
    <w:rsid w:val="00514904"/>
    <w:rsid w:val="0051493F"/>
    <w:rsid w:val="00514F8A"/>
    <w:rsid w:val="005230A2"/>
    <w:rsid w:val="00526411"/>
    <w:rsid w:val="00534326"/>
    <w:rsid w:val="005359A6"/>
    <w:rsid w:val="005457A1"/>
    <w:rsid w:val="00545943"/>
    <w:rsid w:val="00545F31"/>
    <w:rsid w:val="0056495E"/>
    <w:rsid w:val="0057582A"/>
    <w:rsid w:val="00576008"/>
    <w:rsid w:val="005840BB"/>
    <w:rsid w:val="005925BF"/>
    <w:rsid w:val="0059273D"/>
    <w:rsid w:val="005931CC"/>
    <w:rsid w:val="00594899"/>
    <w:rsid w:val="005960D7"/>
    <w:rsid w:val="005A18F6"/>
    <w:rsid w:val="005A33E6"/>
    <w:rsid w:val="005A71BE"/>
    <w:rsid w:val="005A7EFD"/>
    <w:rsid w:val="005B1009"/>
    <w:rsid w:val="005B61F0"/>
    <w:rsid w:val="005B7634"/>
    <w:rsid w:val="005C0F61"/>
    <w:rsid w:val="005C1B02"/>
    <w:rsid w:val="005D000C"/>
    <w:rsid w:val="005E22BB"/>
    <w:rsid w:val="005E3FB1"/>
    <w:rsid w:val="005E4D62"/>
    <w:rsid w:val="005F669D"/>
    <w:rsid w:val="005F770A"/>
    <w:rsid w:val="00601531"/>
    <w:rsid w:val="0060628C"/>
    <w:rsid w:val="006112BF"/>
    <w:rsid w:val="00612C20"/>
    <w:rsid w:val="00613A0C"/>
    <w:rsid w:val="00620812"/>
    <w:rsid w:val="006304CC"/>
    <w:rsid w:val="00631402"/>
    <w:rsid w:val="00641B0A"/>
    <w:rsid w:val="00642568"/>
    <w:rsid w:val="0065003F"/>
    <w:rsid w:val="006560DF"/>
    <w:rsid w:val="0065740C"/>
    <w:rsid w:val="00660EFA"/>
    <w:rsid w:val="00661100"/>
    <w:rsid w:val="00667DE1"/>
    <w:rsid w:val="00670DAC"/>
    <w:rsid w:val="00671A22"/>
    <w:rsid w:val="00673BD8"/>
    <w:rsid w:val="00676391"/>
    <w:rsid w:val="00677A20"/>
    <w:rsid w:val="00680187"/>
    <w:rsid w:val="00682DF8"/>
    <w:rsid w:val="00684FEE"/>
    <w:rsid w:val="00691583"/>
    <w:rsid w:val="0069248E"/>
    <w:rsid w:val="0069417C"/>
    <w:rsid w:val="006954F8"/>
    <w:rsid w:val="0069567F"/>
    <w:rsid w:val="006A66E7"/>
    <w:rsid w:val="006B1147"/>
    <w:rsid w:val="006B6A63"/>
    <w:rsid w:val="006B6B9E"/>
    <w:rsid w:val="006D5D92"/>
    <w:rsid w:val="006D687C"/>
    <w:rsid w:val="006D6AF6"/>
    <w:rsid w:val="006E20E8"/>
    <w:rsid w:val="006E50B7"/>
    <w:rsid w:val="006E598C"/>
    <w:rsid w:val="006E7FD8"/>
    <w:rsid w:val="006F0441"/>
    <w:rsid w:val="006F2348"/>
    <w:rsid w:val="006F3FDF"/>
    <w:rsid w:val="006F78F1"/>
    <w:rsid w:val="006F7A49"/>
    <w:rsid w:val="00702968"/>
    <w:rsid w:val="00706C33"/>
    <w:rsid w:val="007104C0"/>
    <w:rsid w:val="00717444"/>
    <w:rsid w:val="0072780D"/>
    <w:rsid w:val="00731215"/>
    <w:rsid w:val="00733E7D"/>
    <w:rsid w:val="0073524F"/>
    <w:rsid w:val="00740143"/>
    <w:rsid w:val="00742817"/>
    <w:rsid w:val="00743272"/>
    <w:rsid w:val="007472DA"/>
    <w:rsid w:val="00757C77"/>
    <w:rsid w:val="00763049"/>
    <w:rsid w:val="00786FDE"/>
    <w:rsid w:val="00791418"/>
    <w:rsid w:val="00791953"/>
    <w:rsid w:val="00795861"/>
    <w:rsid w:val="00797E4E"/>
    <w:rsid w:val="007A3DCC"/>
    <w:rsid w:val="007A4437"/>
    <w:rsid w:val="007A6A11"/>
    <w:rsid w:val="007A7C7E"/>
    <w:rsid w:val="007B5D1B"/>
    <w:rsid w:val="007B662E"/>
    <w:rsid w:val="007C29EC"/>
    <w:rsid w:val="007D31A6"/>
    <w:rsid w:val="007D3B37"/>
    <w:rsid w:val="007D49E9"/>
    <w:rsid w:val="007E01C5"/>
    <w:rsid w:val="007E300D"/>
    <w:rsid w:val="007E42BE"/>
    <w:rsid w:val="007E648C"/>
    <w:rsid w:val="007F1BDF"/>
    <w:rsid w:val="008019AF"/>
    <w:rsid w:val="00804185"/>
    <w:rsid w:val="00805D9A"/>
    <w:rsid w:val="0081770D"/>
    <w:rsid w:val="00822516"/>
    <w:rsid w:val="00825501"/>
    <w:rsid w:val="00831034"/>
    <w:rsid w:val="00833A59"/>
    <w:rsid w:val="008379B7"/>
    <w:rsid w:val="00844D29"/>
    <w:rsid w:val="00845B3F"/>
    <w:rsid w:val="00846F2D"/>
    <w:rsid w:val="0084700F"/>
    <w:rsid w:val="00853B2E"/>
    <w:rsid w:val="00871815"/>
    <w:rsid w:val="00883961"/>
    <w:rsid w:val="00885A9E"/>
    <w:rsid w:val="0089144B"/>
    <w:rsid w:val="008A1D9F"/>
    <w:rsid w:val="008A3A07"/>
    <w:rsid w:val="008A5BCA"/>
    <w:rsid w:val="008B0FE9"/>
    <w:rsid w:val="008B2161"/>
    <w:rsid w:val="008C4384"/>
    <w:rsid w:val="008C6992"/>
    <w:rsid w:val="008D1490"/>
    <w:rsid w:val="008D18F6"/>
    <w:rsid w:val="008D30BA"/>
    <w:rsid w:val="008D4AFE"/>
    <w:rsid w:val="008D6661"/>
    <w:rsid w:val="008D76F7"/>
    <w:rsid w:val="008D7B3A"/>
    <w:rsid w:val="008E1B0D"/>
    <w:rsid w:val="008E269C"/>
    <w:rsid w:val="008E7C3E"/>
    <w:rsid w:val="008F6E86"/>
    <w:rsid w:val="008F71AA"/>
    <w:rsid w:val="00901CF5"/>
    <w:rsid w:val="009115FC"/>
    <w:rsid w:val="00912044"/>
    <w:rsid w:val="00914B04"/>
    <w:rsid w:val="009154D1"/>
    <w:rsid w:val="0091744C"/>
    <w:rsid w:val="00927633"/>
    <w:rsid w:val="00933C34"/>
    <w:rsid w:val="00937F09"/>
    <w:rsid w:val="00941805"/>
    <w:rsid w:val="009442B5"/>
    <w:rsid w:val="00951BD2"/>
    <w:rsid w:val="00953AFD"/>
    <w:rsid w:val="00956268"/>
    <w:rsid w:val="00964AA3"/>
    <w:rsid w:val="00966EFC"/>
    <w:rsid w:val="0097044F"/>
    <w:rsid w:val="00973D28"/>
    <w:rsid w:val="00982112"/>
    <w:rsid w:val="009A51A5"/>
    <w:rsid w:val="009B065F"/>
    <w:rsid w:val="009B4C8B"/>
    <w:rsid w:val="009C063C"/>
    <w:rsid w:val="009C1185"/>
    <w:rsid w:val="009C1756"/>
    <w:rsid w:val="009C3250"/>
    <w:rsid w:val="009D1A52"/>
    <w:rsid w:val="009D5F7A"/>
    <w:rsid w:val="009E4603"/>
    <w:rsid w:val="009F2725"/>
    <w:rsid w:val="009F3883"/>
    <w:rsid w:val="009F5DFD"/>
    <w:rsid w:val="00A00229"/>
    <w:rsid w:val="00A01A3D"/>
    <w:rsid w:val="00A06C6A"/>
    <w:rsid w:val="00A13665"/>
    <w:rsid w:val="00A203F0"/>
    <w:rsid w:val="00A21FC7"/>
    <w:rsid w:val="00A306FC"/>
    <w:rsid w:val="00A3377B"/>
    <w:rsid w:val="00A41E80"/>
    <w:rsid w:val="00A43989"/>
    <w:rsid w:val="00A50429"/>
    <w:rsid w:val="00A50776"/>
    <w:rsid w:val="00A5286A"/>
    <w:rsid w:val="00A749B2"/>
    <w:rsid w:val="00A75EF1"/>
    <w:rsid w:val="00A76BAB"/>
    <w:rsid w:val="00A9510B"/>
    <w:rsid w:val="00A973D8"/>
    <w:rsid w:val="00AB0BE9"/>
    <w:rsid w:val="00AC0247"/>
    <w:rsid w:val="00AC1553"/>
    <w:rsid w:val="00AC32D1"/>
    <w:rsid w:val="00AC501F"/>
    <w:rsid w:val="00AD17E3"/>
    <w:rsid w:val="00AE195F"/>
    <w:rsid w:val="00AE370D"/>
    <w:rsid w:val="00AF0ED1"/>
    <w:rsid w:val="00AF14BE"/>
    <w:rsid w:val="00AF6168"/>
    <w:rsid w:val="00B0557A"/>
    <w:rsid w:val="00B067F7"/>
    <w:rsid w:val="00B16117"/>
    <w:rsid w:val="00B16EC4"/>
    <w:rsid w:val="00B17E30"/>
    <w:rsid w:val="00B20929"/>
    <w:rsid w:val="00B21A9A"/>
    <w:rsid w:val="00B244F5"/>
    <w:rsid w:val="00B271B6"/>
    <w:rsid w:val="00B32402"/>
    <w:rsid w:val="00B36E14"/>
    <w:rsid w:val="00B4388A"/>
    <w:rsid w:val="00B4432F"/>
    <w:rsid w:val="00B45305"/>
    <w:rsid w:val="00B51072"/>
    <w:rsid w:val="00B54306"/>
    <w:rsid w:val="00B66FCF"/>
    <w:rsid w:val="00B70960"/>
    <w:rsid w:val="00B72ACE"/>
    <w:rsid w:val="00B75DD5"/>
    <w:rsid w:val="00B80523"/>
    <w:rsid w:val="00B87314"/>
    <w:rsid w:val="00B90A21"/>
    <w:rsid w:val="00B92D6B"/>
    <w:rsid w:val="00BA24AF"/>
    <w:rsid w:val="00BA7636"/>
    <w:rsid w:val="00BB3ED4"/>
    <w:rsid w:val="00BB6138"/>
    <w:rsid w:val="00BC1961"/>
    <w:rsid w:val="00BC20FD"/>
    <w:rsid w:val="00BC4CEB"/>
    <w:rsid w:val="00BC6561"/>
    <w:rsid w:val="00BD7E7E"/>
    <w:rsid w:val="00BE58EC"/>
    <w:rsid w:val="00BE67B1"/>
    <w:rsid w:val="00C01299"/>
    <w:rsid w:val="00C03A30"/>
    <w:rsid w:val="00C1088D"/>
    <w:rsid w:val="00C127C4"/>
    <w:rsid w:val="00C129C7"/>
    <w:rsid w:val="00C13137"/>
    <w:rsid w:val="00C1635A"/>
    <w:rsid w:val="00C2381B"/>
    <w:rsid w:val="00C272AA"/>
    <w:rsid w:val="00C34A76"/>
    <w:rsid w:val="00C3534A"/>
    <w:rsid w:val="00C367D1"/>
    <w:rsid w:val="00C40BB2"/>
    <w:rsid w:val="00C43912"/>
    <w:rsid w:val="00C43F0A"/>
    <w:rsid w:val="00C54AA9"/>
    <w:rsid w:val="00C61A74"/>
    <w:rsid w:val="00C7731F"/>
    <w:rsid w:val="00C81F0C"/>
    <w:rsid w:val="00C8209D"/>
    <w:rsid w:val="00C82C3A"/>
    <w:rsid w:val="00C861B3"/>
    <w:rsid w:val="00C91DA5"/>
    <w:rsid w:val="00C91F01"/>
    <w:rsid w:val="00CA011A"/>
    <w:rsid w:val="00CA4B38"/>
    <w:rsid w:val="00CA576F"/>
    <w:rsid w:val="00CA7B0A"/>
    <w:rsid w:val="00CB3002"/>
    <w:rsid w:val="00CB493A"/>
    <w:rsid w:val="00CC2E7E"/>
    <w:rsid w:val="00CC330B"/>
    <w:rsid w:val="00CC45FC"/>
    <w:rsid w:val="00CC77C8"/>
    <w:rsid w:val="00CD0DEA"/>
    <w:rsid w:val="00CD1560"/>
    <w:rsid w:val="00CD36B8"/>
    <w:rsid w:val="00CD57E6"/>
    <w:rsid w:val="00CD6A55"/>
    <w:rsid w:val="00CE1526"/>
    <w:rsid w:val="00CF0718"/>
    <w:rsid w:val="00CF19B2"/>
    <w:rsid w:val="00CF55E5"/>
    <w:rsid w:val="00CF5621"/>
    <w:rsid w:val="00D038FF"/>
    <w:rsid w:val="00D045C4"/>
    <w:rsid w:val="00D0612F"/>
    <w:rsid w:val="00D11F8C"/>
    <w:rsid w:val="00D14A5E"/>
    <w:rsid w:val="00D15E60"/>
    <w:rsid w:val="00D17F87"/>
    <w:rsid w:val="00D32D24"/>
    <w:rsid w:val="00D3543B"/>
    <w:rsid w:val="00D3789D"/>
    <w:rsid w:val="00D37CAE"/>
    <w:rsid w:val="00D42BA4"/>
    <w:rsid w:val="00D45EEB"/>
    <w:rsid w:val="00D461AA"/>
    <w:rsid w:val="00D461BE"/>
    <w:rsid w:val="00D558EF"/>
    <w:rsid w:val="00D56945"/>
    <w:rsid w:val="00D65584"/>
    <w:rsid w:val="00D71504"/>
    <w:rsid w:val="00D716E1"/>
    <w:rsid w:val="00D80571"/>
    <w:rsid w:val="00D814C4"/>
    <w:rsid w:val="00D93AA3"/>
    <w:rsid w:val="00D93E41"/>
    <w:rsid w:val="00D97F9D"/>
    <w:rsid w:val="00DA0EA0"/>
    <w:rsid w:val="00DA7BC7"/>
    <w:rsid w:val="00DB01B7"/>
    <w:rsid w:val="00DB073B"/>
    <w:rsid w:val="00DB231D"/>
    <w:rsid w:val="00DB55DE"/>
    <w:rsid w:val="00DC07C2"/>
    <w:rsid w:val="00DC220B"/>
    <w:rsid w:val="00DC3745"/>
    <w:rsid w:val="00DD0045"/>
    <w:rsid w:val="00DD4F8F"/>
    <w:rsid w:val="00DD7912"/>
    <w:rsid w:val="00DD7D0A"/>
    <w:rsid w:val="00DE6AB7"/>
    <w:rsid w:val="00DF5165"/>
    <w:rsid w:val="00E01559"/>
    <w:rsid w:val="00E01A96"/>
    <w:rsid w:val="00E05903"/>
    <w:rsid w:val="00E068F0"/>
    <w:rsid w:val="00E128D0"/>
    <w:rsid w:val="00E13585"/>
    <w:rsid w:val="00E173E4"/>
    <w:rsid w:val="00E23F79"/>
    <w:rsid w:val="00E25BCA"/>
    <w:rsid w:val="00E27088"/>
    <w:rsid w:val="00E30EC7"/>
    <w:rsid w:val="00E3697D"/>
    <w:rsid w:val="00E41759"/>
    <w:rsid w:val="00E4302E"/>
    <w:rsid w:val="00E4307D"/>
    <w:rsid w:val="00E44216"/>
    <w:rsid w:val="00E44774"/>
    <w:rsid w:val="00E54369"/>
    <w:rsid w:val="00E57838"/>
    <w:rsid w:val="00E6794D"/>
    <w:rsid w:val="00E730F5"/>
    <w:rsid w:val="00E7333A"/>
    <w:rsid w:val="00E737A5"/>
    <w:rsid w:val="00E75297"/>
    <w:rsid w:val="00E81318"/>
    <w:rsid w:val="00E83228"/>
    <w:rsid w:val="00E84ABF"/>
    <w:rsid w:val="00E92232"/>
    <w:rsid w:val="00E95EF8"/>
    <w:rsid w:val="00EA1ADF"/>
    <w:rsid w:val="00EA239E"/>
    <w:rsid w:val="00EA524D"/>
    <w:rsid w:val="00EA6140"/>
    <w:rsid w:val="00EB64ED"/>
    <w:rsid w:val="00EC315F"/>
    <w:rsid w:val="00EC76EF"/>
    <w:rsid w:val="00ED0065"/>
    <w:rsid w:val="00ED45ED"/>
    <w:rsid w:val="00ED7252"/>
    <w:rsid w:val="00EE10B0"/>
    <w:rsid w:val="00EE36ED"/>
    <w:rsid w:val="00EE55BD"/>
    <w:rsid w:val="00EE5734"/>
    <w:rsid w:val="00EE6DCE"/>
    <w:rsid w:val="00EE7FF9"/>
    <w:rsid w:val="00EF30E2"/>
    <w:rsid w:val="00EF39D1"/>
    <w:rsid w:val="00EF4623"/>
    <w:rsid w:val="00F01751"/>
    <w:rsid w:val="00F026D7"/>
    <w:rsid w:val="00F26DB1"/>
    <w:rsid w:val="00F272E1"/>
    <w:rsid w:val="00F3198B"/>
    <w:rsid w:val="00F32114"/>
    <w:rsid w:val="00F328F4"/>
    <w:rsid w:val="00F33012"/>
    <w:rsid w:val="00F356A6"/>
    <w:rsid w:val="00F42524"/>
    <w:rsid w:val="00F45CA1"/>
    <w:rsid w:val="00F52B9A"/>
    <w:rsid w:val="00F5315C"/>
    <w:rsid w:val="00F55CC0"/>
    <w:rsid w:val="00F6548A"/>
    <w:rsid w:val="00F73E79"/>
    <w:rsid w:val="00F749D3"/>
    <w:rsid w:val="00F832D2"/>
    <w:rsid w:val="00F85464"/>
    <w:rsid w:val="00F948A8"/>
    <w:rsid w:val="00F94D77"/>
    <w:rsid w:val="00F967BA"/>
    <w:rsid w:val="00FA4524"/>
    <w:rsid w:val="00FB1A5E"/>
    <w:rsid w:val="00FB1BFE"/>
    <w:rsid w:val="00FB4DA8"/>
    <w:rsid w:val="00FC7919"/>
    <w:rsid w:val="00FD5896"/>
    <w:rsid w:val="00FD59B1"/>
    <w:rsid w:val="00FE0A3A"/>
    <w:rsid w:val="00FE71A2"/>
    <w:rsid w:val="00FF1D07"/>
    <w:rsid w:val="00FF2A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49BF0"/>
  <w14:defaultImageDpi w14:val="300"/>
  <w15:docId w15:val="{AF659911-6DEA-4E03-8476-8BFE1C28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8DF"/>
    <w:pPr>
      <w:spacing w:line="480" w:lineRule="auto"/>
    </w:pPr>
    <w:rPr>
      <w:rFonts w:ascii="Times New Roman" w:hAnsi="Times New Roman" w:cs="Times New Roman"/>
      <w:lang w:eastAsia="ja-JP"/>
    </w:rPr>
  </w:style>
  <w:style w:type="paragraph" w:styleId="Heading1">
    <w:name w:val="heading 1"/>
    <w:basedOn w:val="NormalWeb"/>
    <w:next w:val="Normal"/>
    <w:link w:val="Heading1Char"/>
    <w:uiPriority w:val="9"/>
    <w:qFormat/>
    <w:rsid w:val="00F948A8"/>
    <w:pPr>
      <w:outlineLvl w:val="0"/>
    </w:pPr>
    <w:rPr>
      <w:b/>
      <w:color w:val="FF0000"/>
    </w:rPr>
  </w:style>
  <w:style w:type="paragraph" w:styleId="Heading4">
    <w:name w:val="heading 4"/>
    <w:basedOn w:val="Normal"/>
    <w:next w:val="Normal"/>
    <w:link w:val="Heading4Char"/>
    <w:uiPriority w:val="9"/>
    <w:unhideWhenUsed/>
    <w:qFormat/>
    <w:rsid w:val="00271D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91DA5"/>
    <w:pPr>
      <w:spacing w:before="100" w:beforeAutospacing="1" w:after="100" w:afterAutospacing="1"/>
    </w:pPr>
    <w:rPr>
      <w:rFonts w:eastAsia="Times New Roman"/>
      <w:lang w:val="en-GB" w:eastAsia="en-GB"/>
    </w:rPr>
  </w:style>
  <w:style w:type="paragraph" w:styleId="ListParagraph">
    <w:name w:val="List Paragraph"/>
    <w:basedOn w:val="Normal"/>
    <w:uiPriority w:val="34"/>
    <w:qFormat/>
    <w:rsid w:val="00C91DA5"/>
    <w:pPr>
      <w:ind w:left="720"/>
      <w:contextualSpacing/>
    </w:pPr>
    <w:rPr>
      <w:rFonts w:eastAsia="Times New Roman"/>
      <w:lang w:val="en-GB" w:eastAsia="en-US"/>
    </w:rPr>
  </w:style>
  <w:style w:type="character" w:customStyle="1" w:styleId="Heading1Char">
    <w:name w:val="Heading 1 Char"/>
    <w:basedOn w:val="DefaultParagraphFont"/>
    <w:link w:val="Heading1"/>
    <w:uiPriority w:val="9"/>
    <w:rsid w:val="00F948A8"/>
    <w:rPr>
      <w:rFonts w:ascii="Times New Roman" w:eastAsia="Times New Roman" w:hAnsi="Times New Roman" w:cs="Times New Roman"/>
      <w:b/>
      <w:color w:val="FF0000"/>
      <w:lang w:val="en-GB" w:eastAsia="en-GB"/>
    </w:rPr>
  </w:style>
  <w:style w:type="paragraph" w:styleId="Header">
    <w:name w:val="header"/>
    <w:basedOn w:val="Normal"/>
    <w:link w:val="HeaderChar"/>
    <w:uiPriority w:val="99"/>
    <w:unhideWhenUsed/>
    <w:rsid w:val="00D038FF"/>
    <w:pPr>
      <w:tabs>
        <w:tab w:val="center" w:pos="4513"/>
        <w:tab w:val="right" w:pos="9026"/>
      </w:tabs>
      <w:spacing w:line="240" w:lineRule="auto"/>
    </w:pPr>
  </w:style>
  <w:style w:type="character" w:customStyle="1" w:styleId="HeaderChar">
    <w:name w:val="Header Char"/>
    <w:basedOn w:val="DefaultParagraphFont"/>
    <w:link w:val="Header"/>
    <w:uiPriority w:val="99"/>
    <w:rsid w:val="00D038FF"/>
    <w:rPr>
      <w:rFonts w:ascii="Times New Roman" w:hAnsi="Times New Roman" w:cs="Times New Roman"/>
      <w:lang w:eastAsia="ja-JP"/>
    </w:rPr>
  </w:style>
  <w:style w:type="paragraph" w:styleId="Footer">
    <w:name w:val="footer"/>
    <w:basedOn w:val="Normal"/>
    <w:link w:val="FooterChar"/>
    <w:uiPriority w:val="99"/>
    <w:unhideWhenUsed/>
    <w:rsid w:val="00D038FF"/>
    <w:pPr>
      <w:tabs>
        <w:tab w:val="center" w:pos="4513"/>
        <w:tab w:val="right" w:pos="9026"/>
      </w:tabs>
      <w:spacing w:line="240" w:lineRule="auto"/>
    </w:pPr>
  </w:style>
  <w:style w:type="character" w:customStyle="1" w:styleId="FooterChar">
    <w:name w:val="Footer Char"/>
    <w:basedOn w:val="DefaultParagraphFont"/>
    <w:link w:val="Footer"/>
    <w:uiPriority w:val="99"/>
    <w:rsid w:val="00D038FF"/>
    <w:rPr>
      <w:rFonts w:ascii="Times New Roman" w:hAnsi="Times New Roman" w:cs="Times New Roman"/>
      <w:lang w:eastAsia="ja-JP"/>
    </w:rPr>
  </w:style>
  <w:style w:type="character" w:customStyle="1" w:styleId="Heading4Char">
    <w:name w:val="Heading 4 Char"/>
    <w:basedOn w:val="DefaultParagraphFont"/>
    <w:link w:val="Heading4"/>
    <w:uiPriority w:val="9"/>
    <w:rsid w:val="00271DE8"/>
    <w:rPr>
      <w:rFonts w:asciiTheme="majorHAnsi" w:eastAsiaTheme="majorEastAsia" w:hAnsiTheme="majorHAnsi" w:cstheme="majorBidi"/>
      <w:i/>
      <w:iCs/>
      <w:color w:val="365F91" w:themeColor="accent1" w:themeShade="BF"/>
      <w:lang w:eastAsia="ja-JP"/>
    </w:rPr>
  </w:style>
  <w:style w:type="character" w:customStyle="1" w:styleId="nlmgiven-names">
    <w:name w:val="nlm_given-names"/>
    <w:basedOn w:val="DefaultParagraphFont"/>
    <w:rsid w:val="00271DE8"/>
  </w:style>
  <w:style w:type="character" w:styleId="Hyperlink">
    <w:name w:val="Hyperlink"/>
    <w:basedOn w:val="DefaultParagraphFont"/>
    <w:uiPriority w:val="99"/>
    <w:unhideWhenUsed/>
    <w:rsid w:val="0091744C"/>
    <w:rPr>
      <w:color w:val="0000FF" w:themeColor="hyperlink"/>
      <w:u w:val="single"/>
    </w:rPr>
  </w:style>
  <w:style w:type="character" w:styleId="Emphasis">
    <w:name w:val="Emphasis"/>
    <w:basedOn w:val="DefaultParagraphFont"/>
    <w:uiPriority w:val="20"/>
    <w:qFormat/>
    <w:rsid w:val="00691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392">
      <w:bodyDiv w:val="1"/>
      <w:marLeft w:val="0"/>
      <w:marRight w:val="0"/>
      <w:marTop w:val="0"/>
      <w:marBottom w:val="0"/>
      <w:divBdr>
        <w:top w:val="none" w:sz="0" w:space="0" w:color="auto"/>
        <w:left w:val="none" w:sz="0" w:space="0" w:color="auto"/>
        <w:bottom w:val="none" w:sz="0" w:space="0" w:color="auto"/>
        <w:right w:val="none" w:sz="0" w:space="0" w:color="auto"/>
      </w:divBdr>
    </w:div>
    <w:div w:id="315108935">
      <w:bodyDiv w:val="1"/>
      <w:marLeft w:val="0"/>
      <w:marRight w:val="0"/>
      <w:marTop w:val="0"/>
      <w:marBottom w:val="0"/>
      <w:divBdr>
        <w:top w:val="none" w:sz="0" w:space="0" w:color="auto"/>
        <w:left w:val="none" w:sz="0" w:space="0" w:color="auto"/>
        <w:bottom w:val="none" w:sz="0" w:space="0" w:color="auto"/>
        <w:right w:val="none" w:sz="0" w:space="0" w:color="auto"/>
      </w:divBdr>
    </w:div>
    <w:div w:id="842624393">
      <w:bodyDiv w:val="1"/>
      <w:marLeft w:val="0"/>
      <w:marRight w:val="0"/>
      <w:marTop w:val="0"/>
      <w:marBottom w:val="0"/>
      <w:divBdr>
        <w:top w:val="none" w:sz="0" w:space="0" w:color="auto"/>
        <w:left w:val="none" w:sz="0" w:space="0" w:color="auto"/>
        <w:bottom w:val="none" w:sz="0" w:space="0" w:color="auto"/>
        <w:right w:val="none" w:sz="0" w:space="0" w:color="auto"/>
      </w:divBdr>
    </w:div>
    <w:div w:id="909316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doi/pdf/10.1177/00224871062962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uci.edu/compliance/human-research-protections/researchers/vulnerable-subject-population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melissa-mainini-a5726657/" TargetMode="External"/><Relationship Id="rId4" Type="http://schemas.openxmlformats.org/officeDocument/2006/relationships/settings" Target="settings.xml"/><Relationship Id="rId9" Type="http://schemas.openxmlformats.org/officeDocument/2006/relationships/hyperlink" Target="https://web.archive.org/web/20160714114530/https://markham.schoolloop.com/staf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FA6-1EC2-42FE-BBB0-B449A110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Hill</dc:creator>
  <cp:keywords/>
  <dc:description/>
  <cp:lastModifiedBy>Admin</cp:lastModifiedBy>
  <cp:revision>157</cp:revision>
  <dcterms:created xsi:type="dcterms:W3CDTF">2018-01-07T09:49:00Z</dcterms:created>
  <dcterms:modified xsi:type="dcterms:W3CDTF">2018-01-07T12:34:00Z</dcterms:modified>
</cp:coreProperties>
</file>