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a="http://schemas.openxmlformats.org/draw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/>
        <w:t>德康通用货币发行方案(2025年2月版)</w:t>
      </w:r>
    </w:p>
    <w:p>
      <w:pPr>
        <w:pStyle w:val="5"/>
        <w:jc w:val="center"/>
      </w:pPr>
      <w:r>
        <w:rPr/>
        <w:t>德康通用货币（TCM）发行方案</w:t>
      </w:r>
    </w:p>
    <w:p>
      <w:pPr>
        <w:jc w:val="left"/>
      </w:pPr>
    </w:p>
    <w:p>
      <w:pPr>
        <w:jc w:val="left"/>
      </w:pPr>
      <w:r>
        <w:rPr>
          <w:b/>
          <w:bCs/>
        </w:rPr>
        <w:t>1. **货币基本信息**</w:t>
      </w:r>
    </w:p>
    <w:p>
      <w:pPr>
        <w:jc w:val="left"/>
      </w:pPr>
      <w:r>
        <w:rPr/>
        <w:t xml:space="preserve">- 货币名称：德康通用货币（Tercon Common Money，TCM）  </w:t>
      </w:r>
    </w:p>
    <w:p>
      <w:pPr>
        <w:jc w:val="left"/>
      </w:pPr>
      <w:r>
        <w:rPr/>
        <w:t xml:space="preserve">- 发行机构：德康创新（数字）银行（Tercon Creation Digital Bank，TCB）  </w:t>
      </w:r>
    </w:p>
    <w:p>
      <w:pPr>
        <w:jc w:val="left"/>
      </w:pPr>
      <w:r>
        <w:rPr/>
        <w:t xml:space="preserve">- 货币类型：整数型数字货币（不可分割，无小数单位）  </w:t>
      </w:r>
    </w:p>
    <w:p>
      <w:pPr>
        <w:jc w:val="left"/>
      </w:pPr>
      <w:r>
        <w:rPr/>
        <w:t>- 货币符号：TCM</w:t>
      </w:r>
    </w:p>
    <w:p>
      <w:pPr>
        <w:jc w:val="left"/>
      </w:pPr>
      <w:r>
        <w:rPr/>
        <w:t xml:space="preserve">- 最小单位规则：1 TCM 为最小单位，不可拆分（如 0.5 TCM、0.1 TCM 无效）。  </w:t>
      </w:r>
    </w:p>
    <w:p>
      <w:pPr>
        <w:jc w:val="left"/>
      </w:pPr>
      <w:r>
        <w:rPr/>
        <w:t xml:space="preserve">- 最低金额：任何交易或账户余额均须为 ≥1 TCM（除“0 TCM”表示无余额）。  </w:t>
      </w:r>
    </w:p>
    <w:p>
      <w:pPr>
        <w:jc w:val="left"/>
      </w:pPr>
    </w:p>
    <w:p>
      <w:pPr>
        <w:jc w:val="left"/>
      </w:pPr>
      <w:r>
        <w:rPr/>
        <w:t>---</w:t>
      </w:r>
    </w:p>
    <w:p>
      <w:pPr>
        <w:jc w:val="left"/>
      </w:pPr>
    </w:p>
    <w:p>
      <w:pPr>
        <w:jc w:val="left"/>
      </w:pPr>
      <w:r>
        <w:rPr>
          <w:b/>
          <w:bCs/>
        </w:rPr>
        <w:t>2. **适用范围**</w:t>
      </w:r>
      <w:r>
        <w:rPr/>
        <w:t xml:space="preserve">  </w:t>
      </w:r>
    </w:p>
    <w:p>
      <w:pPr>
        <w:jc w:val="left"/>
      </w:pPr>
      <w:r>
        <w:rPr/>
        <w:t xml:space="preserve">- 德康多元网站集群：TCM 适用于德康多元网站集群旗下所有网站及服务。  </w:t>
      </w:r>
    </w:p>
    <w:p>
      <w:pPr>
        <w:jc w:val="left"/>
      </w:pPr>
      <w:r>
        <w:rPr/>
        <w:t xml:space="preserve">- 第三方娱乐休闲网站：TCM 可适配其他支持 TCM 支付的娱乐休闲网站，需通过 TCB 审核并接入 TCM 支付系统。  </w:t>
      </w:r>
    </w:p>
    <w:p>
      <w:pPr>
        <w:jc w:val="left"/>
      </w:pPr>
    </w:p>
    <w:p>
      <w:pPr>
        <w:jc w:val="left"/>
      </w:pPr>
      <w:r>
        <w:rPr>
          <w:u w:val="single" w:color="auto"/>
        </w:rPr>
        <w:t>**禁止场景**</w:t>
      </w:r>
      <w:r>
        <w:rPr/>
        <w:t xml:space="preserve">：TCM 不为法定货币，禁止在现实生活中代作法定货币（如人民币、美元等）使用；禁止将 TCM 用于任何违法用途，包括但不限于洗钱、赌博、非法交易等。  </w:t>
      </w:r>
    </w:p>
    <w:p>
      <w:pPr>
        <w:jc w:val="left"/>
      </w:pPr>
    </w:p>
    <w:p>
      <w:pPr>
        <w:jc w:val="left"/>
      </w:pPr>
      <w:r>
        <w:rPr/>
        <w:t>---</w:t>
      </w:r>
    </w:p>
    <w:p>
      <w:pPr>
        <w:jc w:val="left"/>
      </w:pPr>
    </w:p>
    <w:p>
      <w:pPr>
        <w:jc w:val="left"/>
      </w:pPr>
      <w:r>
        <w:rPr>
          <w:b/>
          <w:bCs/>
        </w:rPr>
        <w:t>3. **发行机制**</w:t>
      </w:r>
      <w:r>
        <w:rPr/>
        <w:t xml:space="preserve"> </w:t>
      </w:r>
    </w:p>
    <w:p>
      <w:pPr>
        <w:jc w:val="left"/>
      </w:pPr>
      <w:r>
        <w:rPr/>
        <w:t xml:space="preserve">- 总发行量：TCM 总发行量不作固定限制，根据实际交互需求由 TCB 动态调整。  </w:t>
      </w:r>
    </w:p>
    <w:p>
      <w:pPr>
        <w:jc w:val="left"/>
      </w:pPr>
      <w:r>
        <w:rPr/>
        <w:t xml:space="preserve">- 针对性发放：针对特定用户、活动或场景，TCB 可定向发放 TCM。  </w:t>
      </w:r>
    </w:p>
    <w:p>
      <w:pPr>
        <w:jc w:val="left"/>
      </w:pPr>
      <w:r>
        <w:rPr/>
        <w:t xml:space="preserve">- 市场性广泛发行：根据市场需求，TCB 可通过公开渠道向市场投放 TCM。  </w:t>
      </w:r>
    </w:p>
    <w:p>
      <w:pPr>
        <w:jc w:val="left"/>
      </w:pPr>
      <w:r>
        <w:rPr/>
        <w:t xml:space="preserve">- 发行规则：所有 TCM 发行均以整数形式进行，禁止发行非整数 TCM。  </w:t>
      </w:r>
    </w:p>
    <w:p>
      <w:pPr>
        <w:jc w:val="left"/>
      </w:pPr>
    </w:p>
    <w:p>
      <w:pPr>
        <w:jc w:val="left"/>
      </w:pPr>
      <w:r>
        <w:rPr/>
        <w:t>---</w:t>
      </w:r>
    </w:p>
    <w:p>
      <w:pPr>
        <w:jc w:val="left"/>
      </w:pPr>
    </w:p>
    <w:p>
      <w:pPr>
        <w:jc w:val="left"/>
      </w:pPr>
      <w:r>
        <w:rPr>
          <w:b/>
          <w:bCs/>
        </w:rPr>
        <w:t>4.</w:t>
      </w:r>
      <w:r>
        <w:rPr/>
        <w:t xml:space="preserve"> </w:t>
      </w:r>
      <w:r>
        <w:rPr>
          <w:b/>
          <w:bCs/>
        </w:rPr>
        <w:t>**支付规则**</w:t>
      </w:r>
    </w:p>
    <w:p>
      <w:pPr>
        <w:jc w:val="left"/>
      </w:pPr>
      <w:r>
        <w:rPr/>
        <w:t xml:space="preserve">- 跨境支付：TCM 不与国际货币（如美元、欧元等）直接互汇，所有支付场景均以 TCM 为唯一结算单位，用户需通过 TCB 或其他授权平台兑换 TCM 后进行支付。  </w:t>
      </w:r>
    </w:p>
    <w:p>
      <w:pPr>
        <w:jc w:val="left"/>
      </w:pPr>
    </w:p>
    <w:p>
      <w:pPr>
        <w:jc w:val="left"/>
      </w:pPr>
      <w:r>
        <w:rPr>
          <w:u w:val="single" w:color="auto"/>
        </w:rPr>
        <w:t>**支付限制**</w:t>
      </w:r>
      <w:r>
        <w:rPr/>
        <w:t xml:space="preserve">：禁止将 TCM 用于任何违法用途，违反者将承担法律责任。TCB 不对因不正当使用 TCM 造成的财产损失或法律问题承担责任。  </w:t>
      </w:r>
    </w:p>
    <w:p>
      <w:pPr>
        <w:jc w:val="left"/>
      </w:pPr>
    </w:p>
    <w:p>
      <w:pPr>
        <w:jc w:val="left"/>
      </w:pPr>
      <w:r>
        <w:rPr/>
        <w:t>---</w:t>
      </w:r>
    </w:p>
    <w:p>
      <w:pPr>
        <w:jc w:val="left"/>
      </w:pPr>
    </w:p>
    <w:p>
      <w:pPr>
        <w:jc w:val="left"/>
      </w:pPr>
      <w:r>
        <w:rPr>
          <w:b/>
          <w:bCs/>
        </w:rPr>
        <w:t>5. **货币政策**</w:t>
      </w:r>
    </w:p>
    <w:p>
      <w:pPr>
        <w:jc w:val="left"/>
      </w:pPr>
      <w:r>
        <w:rPr/>
        <w:t xml:space="preserve">- 政策调整：通胀控制、利率政策等传统货币政策不再适用。所有货币调整政策（如发行量、流通规则等）由 TCB 根据市场情况和实际需求动态发布。  </w:t>
      </w:r>
    </w:p>
    <w:p>
      <w:pPr>
        <w:jc w:val="left"/>
      </w:pPr>
      <w:r>
        <w:rPr/>
        <w:t xml:space="preserve">- 政策透明性：TCB 将定期于 德康创新（电子）银行官方网站 公布 TCM 的发行、流通和使用情况，确保政策透明。  </w:t>
      </w:r>
    </w:p>
    <w:p>
      <w:pPr>
        <w:jc w:val="left"/>
      </w:pPr>
    </w:p>
    <w:p>
      <w:pPr>
        <w:jc w:val="left"/>
      </w:pPr>
      <w:r>
        <w:rPr/>
        <w:t>---</w:t>
      </w:r>
    </w:p>
    <w:p>
      <w:pPr>
        <w:jc w:val="left"/>
      </w:pPr>
    </w:p>
    <w:p>
      <w:pPr>
        <w:jc w:val="left"/>
      </w:pPr>
      <w:r>
        <w:rPr>
          <w:b/>
          <w:bCs/>
        </w:rPr>
        <w:t>6. **风险管理与用户责任**</w:t>
      </w:r>
    </w:p>
    <w:p>
      <w:pPr>
        <w:jc w:val="left"/>
      </w:pPr>
      <w:r>
        <w:rPr/>
        <w:t xml:space="preserve">- 用户责任：用户需自行承担因不正当使用 TCM 造成的财产损失和法律风险，禁止将 TCM 用于任何违法用途，违反者将承担全部法律责任。  </w:t>
      </w:r>
    </w:p>
    <w:p>
      <w:pPr>
        <w:jc w:val="left"/>
      </w:pPr>
    </w:p>
    <w:p>
      <w:pPr>
        <w:jc w:val="left"/>
      </w:pPr>
      <w:r>
        <w:rPr>
          <w:u w:val="single" w:color="auto"/>
        </w:rPr>
        <w:t>**TCB 免责声明**</w:t>
      </w:r>
      <w:r>
        <w:rPr/>
        <w:t xml:space="preserve">：TCB 不对 TCM 的财产价值或使用行为提供任何担保。TCB 不承担因用户行为导致的任何财产损失或法律纠纷。  </w:t>
      </w:r>
    </w:p>
    <w:p>
      <w:pPr>
        <w:jc w:val="left"/>
      </w:pPr>
    </w:p>
    <w:p>
      <w:pPr>
        <w:jc w:val="left"/>
      </w:pPr>
      <w:r>
        <w:rPr/>
        <w:t>---</w:t>
      </w:r>
    </w:p>
    <w:p>
      <w:pPr>
        <w:jc w:val="left"/>
      </w:pPr>
    </w:p>
    <w:p>
      <w:pPr>
        <w:jc w:val="left"/>
      </w:pPr>
      <w:r>
        <w:rPr>
          <w:b/>
          <w:bCs/>
        </w:rPr>
        <w:t>7. **技术实现**</w:t>
      </w:r>
    </w:p>
    <w:p>
      <w:pPr>
        <w:jc w:val="left"/>
      </w:pPr>
      <w:r>
        <w:rPr/>
        <w:t xml:space="preserve">- 区块链设计：底层账本仅记录整数 TCM，交易精度固定为0 位小数，智能合约逻辑中禁止小数运算，强制所有金额为整数。  </w:t>
      </w:r>
    </w:p>
    <w:p>
      <w:pPr>
        <w:jc w:val="left"/>
      </w:pPr>
      <w:r>
        <w:rPr/>
        <w:t xml:space="preserve">- 钱包与接口：用户界面仅支持输入整数 TCM（如转账时输入“1 TCM”或“5 TCM”）。API 和开发者工具中，任何小数请求将被系统自动拒绝。  </w:t>
      </w:r>
    </w:p>
    <w:p>
      <w:pPr>
        <w:jc w:val="left"/>
      </w:pPr>
    </w:p>
    <w:p>
      <w:pPr>
        <w:jc w:val="left"/>
      </w:pPr>
      <w:r>
        <w:rPr/>
        <w:t>---</w:t>
      </w:r>
    </w:p>
    <w:p>
      <w:pPr>
        <w:jc w:val="left"/>
      </w:pPr>
    </w:p>
    <w:p>
      <w:pPr>
        <w:jc w:val="left"/>
      </w:pPr>
      <w:r>
        <w:rPr>
          <w:b/>
          <w:bCs/>
        </w:rPr>
        <w:t>8. **推广与教育**</w:t>
      </w:r>
    </w:p>
    <w:p>
      <w:pPr>
        <w:jc w:val="left"/>
      </w:pPr>
      <w:r>
        <w:rPr/>
        <w:t xml:space="preserve">- 市场推广：通过德康多元网站集群及合作平台推广 TCM，提高用户认知度和接受度。  </w:t>
      </w:r>
    </w:p>
    <w:p>
      <w:pPr>
        <w:jc w:val="left"/>
      </w:pPr>
      <w:r>
        <w:rPr/>
        <w:t xml:space="preserve">- 用户教育：开展 TCM 使用规则和风险教育，帮助用户正确理解和使用 TCM。  </w:t>
      </w:r>
    </w:p>
    <w:p>
      <w:pPr>
        <w:jc w:val="left"/>
      </w:pPr>
      <w:r>
        <w:rPr/>
        <w:t xml:space="preserve">- 合作伙伴：与支持 TCM 的娱乐休闲网站合作，扩大 TCM 的应用场景。  </w:t>
      </w:r>
    </w:p>
    <w:p>
      <w:pPr>
        <w:jc w:val="left"/>
      </w:pPr>
    </w:p>
    <w:p>
      <w:pPr>
        <w:jc w:val="left"/>
      </w:pPr>
      <w:r>
        <w:rPr/>
        <w:t>---</w:t>
      </w:r>
    </w:p>
    <w:p>
      <w:pPr>
        <w:jc w:val="left"/>
      </w:pPr>
    </w:p>
    <w:p>
      <w:pPr>
        <w:jc w:val="left"/>
      </w:pPr>
      <w:r>
        <w:rPr>
          <w:b/>
          <w:bCs/>
        </w:rPr>
        <w:t>9. **未来展望**</w:t>
      </w:r>
    </w:p>
    <w:p>
      <w:pPr>
        <w:jc w:val="left"/>
      </w:pPr>
      <w:r>
        <w:rPr/>
        <w:t xml:space="preserve">- 生态扩展：逐步将 TCM 推广至更多适配的娱乐休闲网站，构建以 TCM 为核心的数字经济生态。  </w:t>
      </w:r>
    </w:p>
    <w:p>
      <w:pPr>
        <w:jc w:val="left"/>
      </w:pPr>
      <w:r>
        <w:rPr/>
        <w:t xml:space="preserve">- 技术创新：持续优化区块链技术和智能合约功能，提升 TCM 的支付效率和安全性。  </w:t>
      </w:r>
    </w:p>
    <w:p>
      <w:pPr>
        <w:jc w:val="left"/>
      </w:pPr>
      <w:r>
        <w:rPr/>
        <w:t xml:space="preserve">- 全球化发展：探索 TCM 在更多国家和地区的应用，推动 TCM 成为全球娱乐休闲领域的通用支付工具。  </w:t>
      </w:r>
    </w:p>
    <w:p>
      <w:pPr>
        <w:jc w:val="left"/>
      </w:pPr>
    </w:p>
    <w:p>
      <w:pPr>
        <w:jc w:val="left"/>
      </w:pPr>
      <w:r>
        <w:rPr/>
        <w:t>---</w:t>
      </w:r>
    </w:p>
    <w:p>
      <w:pPr>
        <w:jc w:val="left"/>
      </w:pPr>
    </w:p>
    <w:p>
      <w:pPr>
        <w:jc w:val="left"/>
      </w:pPr>
      <w:r>
        <w:rPr>
          <w:b/>
          <w:bCs/>
        </w:rPr>
        <w:t xml:space="preserve">**制订机构：德康创新（数字）银行（TCB）**  </w:t>
      </w:r>
    </w:p>
    <w:p>
      <w:pPr>
        <w:jc w:val="left"/>
      </w:pPr>
      <w:r>
        <w:rPr>
          <w:b/>
          <w:bCs/>
        </w:rPr>
        <w:t xml:space="preserve">**生效日期：2025年2月7日**  </w:t>
      </w:r>
    </w:p>
    <w:p>
      <w:pPr>
        <w:jc w:val="left"/>
      </w:pPr>
    </w:p>
    <w:p>
      <w:pPr>
        <w:jc w:val="left"/>
      </w:pPr>
      <w:r>
        <w:rPr/>
        <w:t>---</w:t>
      </w:r>
    </w:p>
    <w:p>
      <w:pPr>
        <w:jc w:val="left"/>
      </w:pPr>
      <w:r>
        <w:rPr>
          <w:b/>
          <w:bCs/>
        </w:rPr>
        <w:t xml:space="preserve">       此方案根据德康创新（数字）银行规定向大众公开。</w:t>
      </w:r>
    </w:p>
    <w:p>
      <w:pPr>
        <w:jc w:val="left"/>
      </w:pPr>
    </w:p>
    <w:p>
      <w:pPr>
        <w:jc w:val="left"/>
      </w:pPr>
      <w:r>
        <w:rPr>
          <w:b/>
          <w:bCs/>
        </w:rPr>
        <w:t xml:space="preserve">       德康創新（數字）銀行永久保留對此方案的解釋權，並根據市場等社會變化對此方案進行不定期修訂與審查。</w:t>
      </w:r>
    </w:p>
    <w:p>
      <w:pPr>
        <w:jc w:val="left"/>
      </w:pPr>
    </w:p>
    <w:sectPr>
      <w:pgSz w:w="11906" w:h="16838" w:orient="portrait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altName w:val="Noto Color Emoji"/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>
  <w:abstractNum w:abstractNumId="1">
    <w:nsid w:val="20000001"/>
    <w:multiLevelType w:val="singleLevel"/>
    <w:tmpl w:val="20000001"/>
    <w:lvl w:ilvl="0" w:tentative="0">
      <w:start w:val="1"/>
      <w:numFmt w:val="decimal"/>
      <w:pStyle w:val="15"/>
      <w:suff w:val="space"/>
      <w:lvlText w:val="%1 "/>
      <w:lvlJc w:val="right"/>
      <w:pPr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pPr>
        <w:ind w:left="3360" w:hanging="42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>
    <w:name w:val="Normal"/>
    <w:uiPriority w:val="0"/>
    <w:qFormat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MainTitle"/>
    <w:basedOn w:val="1"/>
    <w:uiPriority w:val="0"/>
    <w:qFormat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paragraph" w:styleId="3">
    <w:name w:val="heading 1"/>
    <w:basedOn w:val="1"/>
    <w:uiPriority w:val="0"/>
    <w:qFormat/>
    <w:pPr>
      <w:spacing w:before="390" w:after="120" w:line="634" w:lineRule="exact"/>
      <w:outlineLvl w:val="0"/>
    </w:pPr>
    <w:rPr>
      <w:b/>
      <w:sz w:val="38"/>
    </w:rPr>
  </w:style>
  <w:style w:type="paragraph" w:styleId="4">
    <w:name w:val="heading 2"/>
    <w:basedOn w:val="1"/>
    <w:uiPriority w:val="0"/>
    <w:qFormat/>
    <w:pPr>
      <w:spacing w:before="330" w:after="120" w:line="536" w:lineRule="exact"/>
      <w:outlineLvl w:val="1"/>
    </w:pPr>
    <w:rPr>
      <w:b/>
      <w:sz w:val="32"/>
    </w:rPr>
  </w:style>
  <w:style w:type="paragraph" w:styleId="5">
    <w:name w:val="heading 3"/>
    <w:basedOn w:val="1"/>
    <w:uiPriority w:val="0"/>
    <w:qFormat/>
    <w:pPr>
      <w:spacing w:before="300" w:after="120" w:line="488" w:lineRule="exact"/>
      <w:outlineLvl w:val="2"/>
    </w:pPr>
    <w:rPr>
      <w:b/>
      <w:sz w:val="30"/>
    </w:rPr>
  </w:style>
  <w:style w:type="paragraph" w:styleId="6">
    <w:name w:val="heading 4"/>
    <w:basedOn w:val="1"/>
    <w:uiPriority w:val="0"/>
    <w:qFormat/>
    <w:pPr>
      <w:spacing w:before="270" w:after="120" w:line="439" w:lineRule="exact"/>
      <w:outlineLvl w:val="3"/>
    </w:pPr>
    <w:rPr>
      <w:b/>
      <w:sz w:val="26"/>
    </w:rPr>
  </w:style>
  <w:style w:type="paragraph" w:styleId="7">
    <w:name w:val="heading 5"/>
    <w:basedOn w:val="1"/>
    <w:uiPriority w:val="0"/>
    <w:qFormat/>
    <w:pPr>
      <w:spacing w:before="240" w:after="120" w:line="390" w:lineRule="exact"/>
      <w:outlineLvl w:val="4"/>
    </w:pPr>
    <w:rPr>
      <w:b/>
      <w:sz w:val="22"/>
    </w:rPr>
  </w:style>
  <w:style w:type="paragraph" w:styleId="8">
    <w:name w:val="heading 6"/>
    <w:basedOn w:val="1"/>
    <w:uiPriority w:val="0"/>
    <w:qFormat/>
    <w:pPr>
      <w:spacing w:before="240" w:after="120" w:line="390" w:lineRule="exact"/>
      <w:outlineLvl w:val="5"/>
    </w:pPr>
    <w:rPr>
      <w:b/>
      <w:sz w:val="22"/>
    </w:rPr>
  </w:style>
  <w:style w:type="table" w:styleId="9">
    <w:name w:val="Table Grid"/>
    <w:basedOn w:val="1"/>
    <w:uiPriority w:val="0"/>
    <w:qFormat/>
    <w:rPr/>
    <w:tblPr>
      <w:tblInd w:w="120" w:type="dxa"/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0">
    <w:name w:val="Hyperlink"/>
    <w:uiPriority w:val="0"/>
    <w:qFormat/>
    <w:rPr>
      <w:color w:val="0A6CFF"/>
      <w:u w:val="single" w:color="0A6CFF"/>
    </w:rPr>
  </w:style>
  <w:style w:type="character" w:styleId="11">
    <w:name w:val="DateTime"/>
    <w:uiPriority w:val="0"/>
    <w:qFormat/>
    <w:rPr>
      <w:color w:val="0A6CFF"/>
    </w:rPr>
  </w:style>
  <w:style w:type="paragraph" w:styleId="12">
    <w:name w:val="Blockquote"/>
    <w:basedOn w:val="1"/>
    <w:uiPriority w:val="0"/>
    <w:qFormat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styleId="13">
    <w:name w:val="Code"/>
    <w:uiPriority w:val="0"/>
    <w:qFormat/>
    <w:rPr>
      <w:bdr w:val="single" w:color="e2e6ed" w:sz="6"/>
    </w:rPr>
  </w:style>
  <w:style w:type="character" w:styleId="14">
    <w:name w:val="Emoji"/>
    <w:uiPriority w:val="0"/>
    <w:qFormat/>
    <w:rPr>
      <w:rFonts w:ascii="Segoe UI Emoji" w:hAnsi="Segoe UI Emoji" w:eastAsia="Segoe UI Emoji" w:cs="Segoe UI Emoji"/>
    </w:rPr>
  </w:style>
  <w:style w:type="paragraph" w:styleId="15">
    <w:name w:val="CodeBlock"/>
    <w:basedOn w:val="1"/>
    <w:uiPriority w:val="0"/>
    <w:qFormat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styleId="16">
    <w:name w:val="HighlightBlock"/>
    <w:basedOn w:val="1"/>
    <w:uiPriority w:val="0"/>
    <w:qFormat/>
    <w:rPr/>
    <w:tblPr>
      <w:tblInd w:w="120" w:type="dxa"/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shd w:val="clear" w:color="ffffff" w:fill="FAF1E6"/>
      <w:tblCellMar>
        <w:left w:w="108" w:type="dxa"/>
        <w:right w:w="108" w:type="dxa"/>
      </w:tblCellMar>
    </w:tblPr>
  </w:style>
  <w:style w:type="paragraph" w:styleId="17">
    <w:name w:val="Seperate"/>
    <w:basedOn w:val="1"/>
    <w:uiPriority w:val="0"/>
    <w:qFormat/>
    <w:pPr>
      <w:spacing w:before="0" w:after="0" w:line="120" w:lineRule="exact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LinksUpToDate>false</LinksUpToDate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webotl</cp:lastModifiedBy>
  <dcterms:created xsi:type="dcterms:W3CDTF">2025-02-06T22:24:20Z</dcterms:created>
  <dcterms:modified xsi:type="dcterms:W3CDTF">2025-02-06T22:24:20Z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