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76AD" w:rsidRPr="00894DC9" w:rsidRDefault="006476AD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Reporte de </w:t>
      </w:r>
      <w:r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>prueba de errores potenciales para nuestros cálculos de</w:t>
      </w:r>
      <w:r w:rsidR="008651D7"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 xml:space="preserve"> contenido de</w:t>
      </w:r>
      <w:r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 xml:space="preserve"> </w:t>
      </w:r>
      <w:r w:rsidR="008651D7"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>carbono (C)</w:t>
      </w:r>
      <w:r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 xml:space="preserve"> y preparación de muestras para análisis de composición isotópica de </w:t>
      </w:r>
      <w:r w:rsidR="008651D7"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>carbono (</w:t>
      </w:r>
      <w:r w:rsidR="008651D7" w:rsidRPr="00894DC9">
        <w:rPr>
          <w:rFonts w:ascii="Times New Roman" w:hAnsi="Times New Roman" w:cs="Times New Roman"/>
          <w:b/>
          <w:sz w:val="24"/>
          <w:szCs w:val="24"/>
          <w:lang w:val="es-ES"/>
        </w:rPr>
        <w:t>δ¹³C</w:t>
      </w:r>
      <w:r w:rsidR="008651D7"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 xml:space="preserve">) en </w:t>
      </w:r>
      <w:r w:rsidR="001F2BAC"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>floemas de tallo</w:t>
      </w:r>
      <w:r w:rsidR="008651D7"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 xml:space="preserve"> (SPH) y base (BPH)</w:t>
      </w:r>
      <w:r w:rsidRPr="00894DC9">
        <w:rPr>
          <w:rFonts w:ascii="Times New Roman" w:eastAsia="Times New Roman" w:hAnsi="Times New Roman" w:cs="Times New Roman"/>
          <w:b/>
          <w:sz w:val="24"/>
          <w:szCs w:val="24"/>
          <w:lang w:val="es-ES" w:eastAsia="en-GB"/>
        </w:rPr>
        <w:t>.</w:t>
      </w:r>
    </w:p>
    <w:p w:rsidR="008651D7" w:rsidRPr="00894DC9" w:rsidRDefault="0045341B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Durante el análisis de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composición</w:t>
      </w:r>
      <w:r w:rsidR="004128A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isotópica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en los laboratorios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Servicios de Apoyo a la investigación (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SAI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)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, detectaron un problema</w:t>
      </w:r>
      <w:r w:rsidR="00332799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para un set de muestras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 floemas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. El laboratorio empleo las mismas condiciones analíticas que para los lotes anteriores analizados, suponiendo que la concentración de carbono estaría en los límites estimados (entre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7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0-1000</w:t>
      </w:r>
      <w:r w:rsidR="008651D7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µg). Sin embargo, encontraron que algunas muestras saturaron el detector debido al alto contenido de C, por lo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cual, no se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pudo obtener el resultado de </w:t>
      </w:r>
      <w:r w:rsidR="008651D7" w:rsidRPr="00894DC9">
        <w:rPr>
          <w:rFonts w:ascii="Times New Roman" w:hAnsi="Times New Roman" w:cs="Times New Roman"/>
          <w:sz w:val="24"/>
          <w:szCs w:val="24"/>
          <w:lang w:val="es-ES"/>
        </w:rPr>
        <w:t>δ¹³C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para dichas muestras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. Lo inesperado fue, que algunas muestras reflejaron hasta 8 veces más concentración (8000</w:t>
      </w:r>
      <w:r w:rsidR="008651D7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µg de C). Ante esto,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SAI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reconfiguro el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equipo de análisis,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para adaptarlo a estas concentraciones más altas.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No obstante</w:t>
      </w:r>
      <w:r w:rsidR="00DA044B" w:rsidRPr="00894DC9">
        <w:rPr>
          <w:rFonts w:ascii="Times New Roman" w:hAnsi="Times New Roman" w:cs="Times New Roman"/>
          <w:sz w:val="24"/>
          <w:szCs w:val="24"/>
          <w:lang w:val="es-ES"/>
        </w:rPr>
        <w:t>, esto pone en duda nuestros resultados de contenido de C</w:t>
      </w:r>
      <w:r w:rsidR="004D0049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analizados en el laboratorio Goyri 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>y</w:t>
      </w:r>
      <w:r w:rsidR="004D0049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los resultados de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D0049" w:rsidRPr="00894DC9">
        <w:rPr>
          <w:rFonts w:ascii="Times New Roman" w:hAnsi="Times New Roman" w:cs="Times New Roman"/>
          <w:sz w:val="24"/>
          <w:szCs w:val="24"/>
          <w:lang w:val="es-ES"/>
        </w:rPr>
        <w:t>δ¹³C de análisis previos con el mismo laboratorio</w:t>
      </w:r>
      <w:r w:rsidR="00DA044B" w:rsidRPr="00894DC9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945C7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CE066D" w:rsidRPr="00894DC9" w:rsidRDefault="00DA044B" w:rsidP="0040356E">
      <w:pPr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Por tal motivo, 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como prueba de errores potenciales para nuestros cálculos de C y preparación de muestras para análisis de </w:t>
      </w:r>
      <w:r w:rsidR="008651D7" w:rsidRPr="00894DC9">
        <w:rPr>
          <w:rFonts w:ascii="Times New Roman" w:hAnsi="Times New Roman" w:cs="Times New Roman"/>
          <w:sz w:val="24"/>
          <w:szCs w:val="24"/>
          <w:lang w:val="es-ES"/>
        </w:rPr>
        <w:t>δ¹³C</w:t>
      </w:r>
      <w:r w:rsidR="008F4A80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, s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e propuso, utilizar </w:t>
      </w:r>
      <w:r w:rsidR="00F87244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tres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muestras de SPH del verano tardío y </w:t>
      </w:r>
      <w:r w:rsidR="00F87244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tres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muestras de BPH de las muestras de orientaciones de verano, colectadas en el monte Santiago</w:t>
      </w:r>
      <w:r w:rsidR="00F87244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, para repetir su análisis de contenido de C y </w:t>
      </w:r>
      <w:r w:rsidR="00F87244" w:rsidRPr="00894DC9">
        <w:rPr>
          <w:rFonts w:ascii="Times New Roman" w:hAnsi="Times New Roman" w:cs="Times New Roman"/>
          <w:sz w:val="24"/>
          <w:szCs w:val="24"/>
          <w:lang w:val="es-ES"/>
        </w:rPr>
        <w:t>δ¹³C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. La idea es, </w:t>
      </w:r>
      <w:r w:rsidR="008F4A80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descongelar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las muestras y dividirlas en 2, </w:t>
      </w:r>
      <w:r w:rsidR="008F4A80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la 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parte superior </w:t>
      </w:r>
      <w:r w:rsidR="008F4A80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de la muestra (</w:t>
      </w:r>
      <w:r w:rsidR="00D50397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limpia</w:t>
      </w:r>
      <w:r w:rsidR="008F4A80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)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y la parte inferior</w:t>
      </w:r>
      <w:r w:rsidR="008F4A80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de la muestra (</w:t>
      </w:r>
      <w:r w:rsidR="00D50397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con posos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)</w:t>
      </w:r>
      <w:r w:rsidR="00F87244"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y repetir exactamente el mismo procedimiento de preparación de muestras para su envío a analizar</w:t>
      </w:r>
      <w:r w:rsidRPr="00894DC9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. </w:t>
      </w:r>
    </w:p>
    <w:p w:rsidR="006476AD" w:rsidRPr="00894DC9" w:rsidRDefault="006476AD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Resultados.</w:t>
      </w:r>
    </w:p>
    <w:p w:rsidR="00EB1883" w:rsidRPr="00894DC9" w:rsidRDefault="00EB1883" w:rsidP="004035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Diferencias entre el contenido de C estimado en laboratorio Goyri y en laboratorio SAI.</w:t>
      </w:r>
    </w:p>
    <w:p w:rsidR="00EB1883" w:rsidRDefault="00176E8E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Existen 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diferencias en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>contenido de C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 las estimaciones realizadas en el laboratorio Goyri en comparativa con las estimaciones realizadas en el laboratorio SAI</w:t>
      </w:r>
      <w:r w:rsidR="008B70B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(Tabla 1)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. Las diferencias 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son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grandes en BPH comparadas con SPH</w:t>
      </w:r>
      <w:r w:rsidR="00C1229C">
        <w:rPr>
          <w:rFonts w:ascii="Times New Roman" w:hAnsi="Times New Roman" w:cs="Times New Roman"/>
          <w:sz w:val="24"/>
          <w:szCs w:val="24"/>
          <w:lang w:val="es-ES"/>
        </w:rPr>
        <w:t xml:space="preserve"> y siempre son más altas las estimaciones de SAI</w:t>
      </w:r>
      <w:r w:rsidR="00EF09F4" w:rsidRPr="00894DC9">
        <w:rPr>
          <w:rFonts w:ascii="Times New Roman" w:hAnsi="Times New Roman" w:cs="Times New Roman"/>
          <w:sz w:val="24"/>
          <w:szCs w:val="24"/>
          <w:lang w:val="es-ES"/>
        </w:rPr>
        <w:t>.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Por ejemplo,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1229C">
        <w:rPr>
          <w:rFonts w:ascii="Times New Roman" w:hAnsi="Times New Roman" w:cs="Times New Roman"/>
          <w:sz w:val="24"/>
          <w:szCs w:val="24"/>
          <w:lang w:val="es-ES"/>
        </w:rPr>
        <w:t xml:space="preserve">la estimación de C realizada por el laboratorio </w:t>
      </w:r>
      <w:r w:rsidR="00C1229C">
        <w:rPr>
          <w:rFonts w:ascii="Times New Roman" w:hAnsi="Times New Roman" w:cs="Times New Roman"/>
          <w:sz w:val="24"/>
          <w:szCs w:val="24"/>
          <w:lang w:val="es-ES"/>
        </w:rPr>
        <w:t xml:space="preserve">SAI </w:t>
      </w:r>
      <w:r w:rsidR="00C1229C" w:rsidRPr="00894DC9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SPH</w:t>
      </w:r>
      <w:r w:rsidR="00C1229C">
        <w:rPr>
          <w:rFonts w:ascii="Times New Roman" w:hAnsi="Times New Roman" w:cs="Times New Roman"/>
          <w:sz w:val="24"/>
          <w:szCs w:val="24"/>
          <w:lang w:val="es-ES"/>
        </w:rPr>
        <w:t>, es en promedio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D4F55">
        <w:rPr>
          <w:rFonts w:ascii="Times New Roman" w:hAnsi="Times New Roman" w:cs="Times New Roman"/>
          <w:sz w:val="24"/>
          <w:szCs w:val="24"/>
          <w:lang w:val="es-ES"/>
        </w:rPr>
        <w:t>5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>31</w:t>
      </w:r>
      <w:r w:rsidR="00A9640A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µ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>g de C</w:t>
      </w:r>
      <w:r w:rsidR="00C1229C">
        <w:rPr>
          <w:rFonts w:ascii="Times New Roman" w:hAnsi="Times New Roman" w:cs="Times New Roman"/>
          <w:sz w:val="24"/>
          <w:szCs w:val="24"/>
          <w:lang w:val="es-ES"/>
        </w:rPr>
        <w:t xml:space="preserve"> más alta que la estimación promedio realizada en el laboratorio Goyri</w:t>
      </w:r>
      <w:r w:rsidR="005D4F55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mientras que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>, la diferencia mas grande fue de 1124</w:t>
      </w:r>
      <w:r w:rsidR="00A9640A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µg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 C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>la mínima diferencia fue de 136.7</w:t>
      </w:r>
      <w:r w:rsidR="00A9640A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µg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 C</w:t>
      </w:r>
      <w:r w:rsidR="008B70B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(Tabla </w:t>
      </w:r>
      <w:r w:rsidR="00C1229C">
        <w:rPr>
          <w:rFonts w:ascii="Times New Roman" w:hAnsi="Times New Roman" w:cs="Times New Roman"/>
          <w:sz w:val="24"/>
          <w:szCs w:val="24"/>
          <w:lang w:val="es-ES"/>
        </w:rPr>
        <w:t>2</w:t>
      </w:r>
      <w:r w:rsidR="008B70B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y Figura </w:t>
      </w:r>
      <w:r w:rsidR="00C511E6">
        <w:rPr>
          <w:rFonts w:ascii="Times New Roman" w:hAnsi="Times New Roman" w:cs="Times New Roman"/>
          <w:sz w:val="24"/>
          <w:szCs w:val="24"/>
          <w:lang w:val="es-ES"/>
        </w:rPr>
        <w:t>1</w:t>
      </w:r>
      <w:r w:rsidR="008B70BF" w:rsidRPr="00894DC9">
        <w:rPr>
          <w:rFonts w:ascii="Times New Roman" w:hAnsi="Times New Roman" w:cs="Times New Roman"/>
          <w:sz w:val="24"/>
          <w:szCs w:val="24"/>
          <w:lang w:val="es-ES"/>
        </w:rPr>
        <w:t>)</w:t>
      </w:r>
      <w:r w:rsidR="00EF09F4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="00056FFF">
        <w:rPr>
          <w:rFonts w:ascii="Times New Roman" w:hAnsi="Times New Roman" w:cs="Times New Roman"/>
          <w:sz w:val="24"/>
          <w:szCs w:val="24"/>
          <w:lang w:val="es-ES"/>
        </w:rPr>
        <w:t>Por otro lado</w:t>
      </w:r>
      <w:r w:rsidR="00EB188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7177B2">
        <w:rPr>
          <w:rFonts w:ascii="Times New Roman" w:hAnsi="Times New Roman" w:cs="Times New Roman"/>
          <w:sz w:val="24"/>
          <w:szCs w:val="24"/>
          <w:lang w:val="es-ES"/>
        </w:rPr>
        <w:t xml:space="preserve">la estimación de C </w:t>
      </w:r>
      <w:r w:rsidR="007177B2">
        <w:rPr>
          <w:rFonts w:ascii="Times New Roman" w:hAnsi="Times New Roman" w:cs="Times New Roman"/>
          <w:sz w:val="24"/>
          <w:szCs w:val="24"/>
          <w:lang w:val="es-ES"/>
        </w:rPr>
        <w:t xml:space="preserve">en BPH, </w:t>
      </w:r>
      <w:r w:rsidR="007177B2">
        <w:rPr>
          <w:rFonts w:ascii="Times New Roman" w:hAnsi="Times New Roman" w:cs="Times New Roman"/>
          <w:sz w:val="24"/>
          <w:szCs w:val="24"/>
          <w:lang w:val="es-ES"/>
        </w:rPr>
        <w:t>realizada por el laboratorio SAI, es en promedio</w:t>
      </w:r>
      <w:r w:rsidR="007177B2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177B2" w:rsidRPr="007177B2">
        <w:rPr>
          <w:rFonts w:ascii="Times New Roman" w:hAnsi="Times New Roman" w:cs="Times New Roman"/>
          <w:sz w:val="24"/>
          <w:szCs w:val="24"/>
          <w:lang w:val="es-ES"/>
        </w:rPr>
        <w:t xml:space="preserve">2315.09 </w:t>
      </w:r>
      <w:r w:rsidR="007177B2" w:rsidRPr="00894DC9">
        <w:rPr>
          <w:rFonts w:ascii="Times New Roman" w:hAnsi="Times New Roman" w:cs="Times New Roman"/>
          <w:sz w:val="24"/>
          <w:szCs w:val="24"/>
          <w:lang w:val="es-ES"/>
        </w:rPr>
        <w:t>µg de C</w:t>
      </w:r>
      <w:r w:rsidR="007177B2">
        <w:rPr>
          <w:rFonts w:ascii="Times New Roman" w:hAnsi="Times New Roman" w:cs="Times New Roman"/>
          <w:sz w:val="24"/>
          <w:szCs w:val="24"/>
          <w:lang w:val="es-ES"/>
        </w:rPr>
        <w:t xml:space="preserve"> más alta que la estimación promedio realizada en el laboratorio Goyri</w:t>
      </w:r>
      <w:r w:rsidR="00EF09F4" w:rsidRPr="007177B2">
        <w:rPr>
          <w:rFonts w:ascii="Times New Roman" w:hAnsi="Times New Roman" w:cs="Times New Roman"/>
          <w:sz w:val="24"/>
          <w:szCs w:val="24"/>
          <w:lang w:val="es-ES"/>
        </w:rPr>
        <w:t xml:space="preserve">, una diferencia mínima de </w:t>
      </w:r>
      <w:r w:rsidR="003A5D0E" w:rsidRPr="007177B2">
        <w:rPr>
          <w:rFonts w:ascii="Times New Roman" w:hAnsi="Times New Roman" w:cs="Times New Roman"/>
          <w:sz w:val="24"/>
          <w:szCs w:val="24"/>
          <w:lang w:val="es-ES"/>
        </w:rPr>
        <w:t xml:space="preserve">901 </w:t>
      </w:r>
      <w:r w:rsidR="008B70BF" w:rsidRPr="007177B2">
        <w:rPr>
          <w:rFonts w:ascii="Times New Roman" w:hAnsi="Times New Roman" w:cs="Times New Roman"/>
          <w:sz w:val="24"/>
          <w:szCs w:val="24"/>
          <w:lang w:val="es-ES"/>
        </w:rPr>
        <w:t>µg</w:t>
      </w:r>
      <w:r w:rsidR="00EF09F4" w:rsidRPr="007177B2">
        <w:rPr>
          <w:rFonts w:ascii="Times New Roman" w:hAnsi="Times New Roman" w:cs="Times New Roman"/>
          <w:sz w:val="24"/>
          <w:szCs w:val="24"/>
          <w:lang w:val="es-ES"/>
        </w:rPr>
        <w:t xml:space="preserve"> de C y una diferencia máxima de 3712 </w:t>
      </w:r>
      <w:r w:rsidR="00A9640A" w:rsidRPr="007177B2">
        <w:rPr>
          <w:rFonts w:ascii="Times New Roman" w:hAnsi="Times New Roman" w:cs="Times New Roman"/>
          <w:sz w:val="24"/>
          <w:szCs w:val="24"/>
          <w:lang w:val="es-ES"/>
        </w:rPr>
        <w:t>µg de C</w:t>
      </w:r>
      <w:r w:rsidR="008B70BF" w:rsidRPr="007177B2">
        <w:rPr>
          <w:rFonts w:ascii="Times New Roman" w:hAnsi="Times New Roman" w:cs="Times New Roman"/>
          <w:sz w:val="24"/>
          <w:szCs w:val="24"/>
          <w:lang w:val="es-ES"/>
        </w:rPr>
        <w:t xml:space="preserve"> (Tabla </w:t>
      </w:r>
      <w:r w:rsidR="007177B2">
        <w:rPr>
          <w:rFonts w:ascii="Times New Roman" w:hAnsi="Times New Roman" w:cs="Times New Roman"/>
          <w:sz w:val="24"/>
          <w:szCs w:val="24"/>
          <w:lang w:val="es-ES"/>
        </w:rPr>
        <w:t>2</w:t>
      </w:r>
      <w:r w:rsidR="00C511E6">
        <w:rPr>
          <w:rFonts w:ascii="Times New Roman" w:hAnsi="Times New Roman" w:cs="Times New Roman"/>
          <w:sz w:val="24"/>
          <w:szCs w:val="24"/>
          <w:lang w:val="es-ES"/>
        </w:rPr>
        <w:t xml:space="preserve"> y figura 1</w:t>
      </w:r>
      <w:r w:rsidR="008B70BF" w:rsidRPr="00894DC9">
        <w:rPr>
          <w:rFonts w:ascii="Times New Roman" w:hAnsi="Times New Roman" w:cs="Times New Roman"/>
          <w:sz w:val="24"/>
          <w:szCs w:val="24"/>
          <w:lang w:val="es-ES"/>
        </w:rPr>
        <w:t>)</w:t>
      </w:r>
      <w:r w:rsidR="00EF09F4" w:rsidRPr="00894DC9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8A1C2B" w:rsidRPr="00894DC9" w:rsidRDefault="00B36D06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Tabla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1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Contenido </w:t>
      </w:r>
      <w:r w:rsidR="008A1C2B" w:rsidRPr="00894DC9">
        <w:rPr>
          <w:rFonts w:ascii="Times New Roman" w:hAnsi="Times New Roman" w:cs="Times New Roman"/>
          <w:b/>
          <w:sz w:val="24"/>
          <w:szCs w:val="24"/>
          <w:lang w:val="es-ES"/>
        </w:rPr>
        <w:t>de carbono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y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8A1C2B" w:rsidRPr="00894DC9">
        <w:rPr>
          <w:rFonts w:ascii="Times New Roman" w:hAnsi="Times New Roman" w:cs="Times New Roman"/>
          <w:b/>
          <w:sz w:val="24"/>
          <w:szCs w:val="24"/>
          <w:lang w:val="es-ES"/>
        </w:rPr>
        <w:t>δ¹³C de muestras de SPH y BPH dividas en parte inferior y superior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muestras procesadas </w:t>
      </w:r>
      <w:r w:rsidR="008A1C2B" w:rsidRPr="00894DC9">
        <w:rPr>
          <w:rFonts w:ascii="Times New Roman" w:hAnsi="Times New Roman" w:cs="Times New Roman"/>
          <w:b/>
          <w:sz w:val="24"/>
          <w:szCs w:val="24"/>
          <w:lang w:val="es-ES"/>
        </w:rPr>
        <w:t>en labora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>torio Goyri y laboratorio SAI.</w:t>
      </w:r>
    </w:p>
    <w:p w:rsidR="00B36D06" w:rsidRDefault="00B36D06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2B1039" w:rsidRPr="00B36D06" w:rsidRDefault="00602E4A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602E4A">
        <w:lastRenderedPageBreak/>
        <w:drawing>
          <wp:inline distT="0" distB="0" distL="0" distR="0">
            <wp:extent cx="5400040" cy="14310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6E5" w:rsidRPr="00894DC9" w:rsidRDefault="007F66E5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8A1C2B" w:rsidRPr="00894DC9" w:rsidRDefault="00A9640A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Tabla</w:t>
      </w:r>
      <w:r w:rsidR="00C2084A"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</w:t>
      </w:r>
      <w:r w:rsidR="00DA3EB6">
        <w:rPr>
          <w:rFonts w:ascii="Times New Roman" w:hAnsi="Times New Roman" w:cs="Times New Roman"/>
          <w:b/>
          <w:sz w:val="24"/>
          <w:szCs w:val="24"/>
          <w:lang w:val="es-ES"/>
        </w:rPr>
        <w:t>P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romedio y desviación estándar del contenido de carbono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 xml:space="preserve">, </w:t>
      </w:r>
      <w:r w:rsidR="008A1C2B" w:rsidRPr="00894DC9">
        <w:rPr>
          <w:rFonts w:ascii="Times New Roman" w:hAnsi="Times New Roman" w:cs="Times New Roman"/>
          <w:b/>
          <w:sz w:val="24"/>
          <w:szCs w:val="24"/>
          <w:lang w:val="es-ES"/>
        </w:rPr>
        <w:t>δ¹³C de muestras de SPH y BPH dividas en parte inferior y superior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muestras procesadas </w:t>
      </w:r>
      <w:r w:rsidR="008A1C2B" w:rsidRPr="00894DC9">
        <w:rPr>
          <w:rFonts w:ascii="Times New Roman" w:hAnsi="Times New Roman" w:cs="Times New Roman"/>
          <w:b/>
          <w:sz w:val="24"/>
          <w:szCs w:val="24"/>
          <w:lang w:val="es-ES"/>
        </w:rPr>
        <w:t>en labora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>torio Goyri y laboratorio SAI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:rsidR="00DA3EB6" w:rsidRPr="00B36D06" w:rsidRDefault="00DA3EB6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9640A" w:rsidRPr="00894DC9" w:rsidRDefault="00602E4A" w:rsidP="0040356E">
      <w:pPr>
        <w:jc w:val="both"/>
        <w:rPr>
          <w:rFonts w:ascii="Times New Roman" w:hAnsi="Times New Roman" w:cs="Times New Roman"/>
          <w:noProof/>
          <w:sz w:val="24"/>
          <w:szCs w:val="24"/>
          <w:lang w:val="es-ES"/>
        </w:rPr>
      </w:pPr>
      <w:r w:rsidRPr="00602E4A">
        <w:drawing>
          <wp:inline distT="0" distB="0" distL="0" distR="0">
            <wp:extent cx="5400040" cy="5186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A59" w:rsidRPr="00894DC9" w:rsidRDefault="00FB6A59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A9640A" w:rsidRPr="00894DC9" w:rsidRDefault="00A9640A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FB6A59" w:rsidRPr="00894DC9" w:rsidRDefault="00FB6A59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442DEC46">
            <wp:extent cx="4477389" cy="2755697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9" cy="2755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1C2B" w:rsidRPr="00894DC9" w:rsidRDefault="00820954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Figura </w:t>
      </w:r>
      <w:r w:rsidR="00EC14E0">
        <w:rPr>
          <w:rFonts w:ascii="Times New Roman" w:hAnsi="Times New Roman" w:cs="Times New Roman"/>
          <w:b/>
          <w:sz w:val="24"/>
          <w:szCs w:val="24"/>
          <w:lang w:val="es-ES"/>
        </w:rPr>
        <w:t>1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Diferencias del contenido de carbono de muestras de BPH y SPH analizadas en </w:t>
      </w:r>
      <w:r w:rsidR="008A1C2B" w:rsidRPr="00894DC9">
        <w:rPr>
          <w:rFonts w:ascii="Times New Roman" w:hAnsi="Times New Roman" w:cs="Times New Roman"/>
          <w:b/>
          <w:sz w:val="24"/>
          <w:szCs w:val="24"/>
          <w:lang w:val="es-ES"/>
        </w:rPr>
        <w:t>labora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>torio Goyri y laboratorio SAI</w:t>
      </w:r>
      <w:r w:rsidR="008A1C2B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:rsidR="008651D7" w:rsidRDefault="001F2BAC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A pesar de que hay una evidente subestimación del contenido de C por parte del laboratorio Goyri, en relación al laboratorio SAI, la </w:t>
      </w:r>
      <w:r w:rsidR="00820954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variabilidad en las diferencias de las muestras analizadas en ambos laboratorios en cuanto al contenido de C, no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permite clarificar</w:t>
      </w:r>
      <w:r w:rsidR="00820954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la razón de esta diferenciación. </w:t>
      </w:r>
    </w:p>
    <w:p w:rsidR="00EC14E0" w:rsidRDefault="00EC14E0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EC14E0" w:rsidRDefault="00EC14E0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EC14E0" w:rsidRPr="00EC14E0" w:rsidRDefault="00EC14E0" w:rsidP="0040356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F238F8" w:rsidRPr="00894DC9" w:rsidRDefault="00F238F8" w:rsidP="0040356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Diferencias en </w:t>
      </w:r>
      <w:r w:rsidR="00D2774B" w:rsidRPr="00894DC9">
        <w:rPr>
          <w:rFonts w:ascii="Times New Roman" w:hAnsi="Times New Roman" w:cs="Times New Roman"/>
          <w:b/>
          <w:sz w:val="24"/>
          <w:szCs w:val="24"/>
          <w:lang w:val="es-ES"/>
        </w:rPr>
        <w:t>δ¹³C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la parte superior e inferior de </w:t>
      </w:r>
      <w:r w:rsidR="00D2774B" w:rsidRPr="00894DC9">
        <w:rPr>
          <w:rFonts w:ascii="Times New Roman" w:hAnsi="Times New Roman" w:cs="Times New Roman"/>
          <w:b/>
          <w:sz w:val="24"/>
          <w:szCs w:val="24"/>
          <w:lang w:val="es-ES"/>
        </w:rPr>
        <w:t>muestras de SPH y BPH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.</w:t>
      </w:r>
    </w:p>
    <w:p w:rsidR="008A1C2B" w:rsidRDefault="001F2BAC" w:rsidP="0040356E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Existen diferencias en </w:t>
      </w:r>
      <w:r w:rsidR="004F3979" w:rsidRPr="00894DC9">
        <w:rPr>
          <w:rFonts w:ascii="Times New Roman" w:hAnsi="Times New Roman" w:cs="Times New Roman"/>
          <w:sz w:val="24"/>
          <w:szCs w:val="24"/>
          <w:lang w:val="es-ES"/>
        </w:rPr>
        <w:t>δ¹³C entre la parte superior e inferior de las muestras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F3979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de floemas tanto en BPH como en SPH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(Tabla </w:t>
      </w:r>
      <w:r w:rsidR="002A07D3">
        <w:rPr>
          <w:rFonts w:ascii="Times New Roman" w:hAnsi="Times New Roman" w:cs="Times New Roman"/>
          <w:sz w:val="24"/>
          <w:szCs w:val="24"/>
          <w:lang w:val="es-ES"/>
        </w:rPr>
        <w:t>1</w:t>
      </w:r>
      <w:r w:rsidR="008A1C2B">
        <w:rPr>
          <w:rFonts w:ascii="Times New Roman" w:hAnsi="Times New Roman" w:cs="Times New Roman"/>
          <w:sz w:val="24"/>
          <w:szCs w:val="24"/>
          <w:lang w:val="es-ES"/>
        </w:rPr>
        <w:t xml:space="preserve"> y figura 2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). </w:t>
      </w:r>
      <w:r w:rsidR="0087747F" w:rsidRPr="00894DC9">
        <w:rPr>
          <w:rFonts w:ascii="Times New Roman" w:hAnsi="Times New Roman" w:cs="Times New Roman"/>
          <w:sz w:val="24"/>
          <w:szCs w:val="24"/>
          <w:lang w:val="es-ES"/>
        </w:rPr>
        <w:t>Por ejemplo, la diferencia m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>ayor de SPH</w:t>
      </w:r>
      <w:r w:rsidR="0087747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fue de 0.52 ‰ y la mínima diferencia fue de 0.26 ‰.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 xml:space="preserve"> Sin embargo, l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as diferencias 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 xml:space="preserve">en SPH son tan pequeñas </w:t>
      </w:r>
      <w:r w:rsidR="008A1C2B">
        <w:rPr>
          <w:rFonts w:ascii="Times New Roman" w:hAnsi="Times New Roman" w:cs="Times New Roman"/>
          <w:sz w:val="24"/>
          <w:szCs w:val="24"/>
          <w:lang w:val="es-ES"/>
        </w:rPr>
        <w:t>que,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 xml:space="preserve"> en</w:t>
      </w:r>
      <w:r w:rsidR="0087747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promedio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>, hay una diferencia</w:t>
      </w:r>
      <w:r w:rsidR="0087747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 0.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>1</w:t>
      </w:r>
      <w:r w:rsidR="0087747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‰ 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>de la</w:t>
      </w:r>
      <w:r w:rsidR="0087747F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δ¹³C entre la parte inferior y superior de la muestra</w:t>
      </w:r>
      <w:r w:rsidR="0087747F">
        <w:rPr>
          <w:rFonts w:ascii="Times New Roman" w:hAnsi="Times New Roman" w:cs="Times New Roman"/>
          <w:sz w:val="24"/>
          <w:szCs w:val="24"/>
          <w:lang w:val="es-ES"/>
        </w:rPr>
        <w:t xml:space="preserve"> (Tabla 2).</w:t>
      </w:r>
      <w:r w:rsidR="008A1C2B">
        <w:rPr>
          <w:rFonts w:ascii="Times New Roman" w:hAnsi="Times New Roman" w:cs="Times New Roman"/>
          <w:sz w:val="24"/>
          <w:szCs w:val="24"/>
          <w:lang w:val="es-ES"/>
        </w:rPr>
        <w:t xml:space="preserve"> Por otro lado, en 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BPH </w:t>
      </w:r>
      <w:r w:rsidR="007B3B4B" w:rsidRPr="00894DC9">
        <w:rPr>
          <w:rFonts w:ascii="Times New Roman" w:hAnsi="Times New Roman" w:cs="Times New Roman"/>
          <w:sz w:val="24"/>
          <w:szCs w:val="24"/>
          <w:lang w:val="es-ES"/>
        </w:rPr>
        <w:t>tenemos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B3B4B" w:rsidRPr="00894DC9">
        <w:rPr>
          <w:rFonts w:ascii="Times New Roman" w:hAnsi="Times New Roman" w:cs="Times New Roman"/>
          <w:sz w:val="24"/>
          <w:szCs w:val="24"/>
          <w:lang w:val="es-ES"/>
        </w:rPr>
        <w:t>una diferencia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promedio</w:t>
      </w:r>
      <w:r w:rsidR="007B3B4B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de 0.38 ‰ en δ¹³C 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>en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>tre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la parte inferior 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y superior 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>de la muestra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, una diferencia mínima de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0.19 ‰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y una diferencia máxima de </w:t>
      </w:r>
      <w:r w:rsidR="000E3722" w:rsidRPr="00894DC9">
        <w:rPr>
          <w:rFonts w:ascii="Times New Roman" w:hAnsi="Times New Roman" w:cs="Times New Roman"/>
          <w:sz w:val="24"/>
          <w:szCs w:val="24"/>
          <w:lang w:val="es-ES"/>
        </w:rPr>
        <w:t>0.57 ‰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>E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stas diferencias mencionadas, 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>casi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D2774B" w:rsidRPr="00894DC9">
        <w:rPr>
          <w:rFonts w:ascii="Times New Roman" w:hAnsi="Times New Roman" w:cs="Times New Roman"/>
          <w:sz w:val="24"/>
          <w:szCs w:val="24"/>
          <w:lang w:val="es-ES"/>
        </w:rPr>
        <w:t>siempre son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respecto a la parte superior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de la muestra, </w:t>
      </w:r>
      <w:r w:rsidR="002A07D3">
        <w:rPr>
          <w:rFonts w:ascii="Times New Roman" w:hAnsi="Times New Roman" w:cs="Times New Roman"/>
          <w:sz w:val="24"/>
          <w:szCs w:val="24"/>
          <w:lang w:val="es-ES"/>
        </w:rPr>
        <w:t>en específico</w:t>
      </w:r>
      <w:r w:rsidR="003E66A3" w:rsidRPr="00894DC9">
        <w:rPr>
          <w:rFonts w:ascii="Times New Roman" w:hAnsi="Times New Roman" w:cs="Times New Roman"/>
          <w:sz w:val="24"/>
          <w:szCs w:val="24"/>
          <w:lang w:val="es-ES"/>
        </w:rPr>
        <w:t>, para BPH la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δ¹³C de la parte superior de la muestra siempre es mas negativa, pero la mayor diferencia registrada en SPH, es contrario a la tendencia </w:t>
      </w:r>
      <w:r w:rsidR="00D2774B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general, 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es decir, que la parte inferior de la muestra es 0.52 ‰ </w:t>
      </w:r>
      <w:r w:rsidR="00D2774B" w:rsidRPr="00894DC9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negativa que la parte superior</w:t>
      </w:r>
      <w:r w:rsidR="008A1C2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8A1C2B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(Tabla </w:t>
      </w:r>
      <w:r w:rsidR="008A1C2B">
        <w:rPr>
          <w:rFonts w:ascii="Times New Roman" w:hAnsi="Times New Roman" w:cs="Times New Roman"/>
          <w:sz w:val="24"/>
          <w:szCs w:val="24"/>
          <w:lang w:val="es-ES"/>
        </w:rPr>
        <w:t>1 y figura 2</w:t>
      </w:r>
      <w:r w:rsidR="008A1C2B" w:rsidRPr="00894DC9">
        <w:rPr>
          <w:rFonts w:ascii="Times New Roman" w:hAnsi="Times New Roman" w:cs="Times New Roman"/>
          <w:sz w:val="24"/>
          <w:szCs w:val="24"/>
          <w:lang w:val="es-ES"/>
        </w:rPr>
        <w:t>)</w:t>
      </w:r>
      <w:r w:rsidR="00C85D81" w:rsidRPr="00894DC9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8A1C2B" w:rsidRDefault="0040356E" w:rsidP="0040356E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1BC83627">
            <wp:extent cx="5121275" cy="30480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75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356E" w:rsidRPr="00894DC9" w:rsidRDefault="0040356E" w:rsidP="0040356E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Figura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Diferencias </w:t>
      </w:r>
      <w:r w:rsidRPr="0040356E">
        <w:rPr>
          <w:rFonts w:ascii="Times New Roman" w:hAnsi="Times New Roman" w:cs="Times New Roman"/>
          <w:b/>
          <w:sz w:val="24"/>
          <w:szCs w:val="24"/>
          <w:lang w:val="es-ES"/>
        </w:rPr>
        <w:t>de</w:t>
      </w:r>
      <w:r w:rsidRPr="0040356E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40356E">
        <w:rPr>
          <w:rFonts w:ascii="Times New Roman" w:hAnsi="Times New Roman" w:cs="Times New Roman"/>
          <w:b/>
          <w:sz w:val="24"/>
          <w:szCs w:val="24"/>
          <w:lang w:val="es-ES"/>
        </w:rPr>
        <w:t>δ¹³C</w:t>
      </w:r>
      <w:r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4DC9">
        <w:rPr>
          <w:rFonts w:ascii="Times New Roman" w:hAnsi="Times New Roman" w:cs="Times New Roman"/>
          <w:b/>
          <w:sz w:val="24"/>
          <w:szCs w:val="24"/>
          <w:lang w:val="es-ES"/>
        </w:rPr>
        <w:t>de muestras de BPH y SPH analizadas en labora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torio Goyri y laboratorio SAI.</w:t>
      </w:r>
    </w:p>
    <w:p w:rsidR="0040356E" w:rsidRDefault="0040356E" w:rsidP="0040356E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8A1C2B" w:rsidRDefault="00490C1E" w:rsidP="00490C1E">
      <w:pPr>
        <w:ind w:left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En conclusión, hay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una diferencia constante pero no significativa, entre las dos partes de la muestra, como para afirmar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que tenemos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señal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isotópica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modificada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por contaminación de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posos en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la muestra.</w:t>
      </w:r>
      <w:r w:rsidR="00CD18EC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En condiciones ideales, si dos muestras provienen del mismo origen y no han experimentado procesos significativos, </w:t>
      </w:r>
      <w:r>
        <w:rPr>
          <w:rFonts w:ascii="Times New Roman" w:hAnsi="Times New Roman" w:cs="Times New Roman"/>
          <w:sz w:val="24"/>
          <w:szCs w:val="24"/>
          <w:lang w:val="es-ES"/>
        </w:rPr>
        <w:t>sé espera</w:t>
      </w:r>
      <w:r w:rsidR="00CD18EC" w:rsidRPr="00894DC9">
        <w:rPr>
          <w:rFonts w:ascii="Times New Roman" w:hAnsi="Times New Roman" w:cs="Times New Roman"/>
          <w:sz w:val="24"/>
          <w:szCs w:val="24"/>
          <w:lang w:val="es-ES"/>
        </w:rPr>
        <w:t xml:space="preserve"> que tengan una composición isotópica muy similar. Sin embargo, en la práctica, siempre habrá cierta variabilidad inherente en las mediciones debido a factores como la precisión de los instrumentos, la preparación de las muestras, etc. </w:t>
      </w:r>
    </w:p>
    <w:p w:rsidR="008A1C2B" w:rsidRDefault="008A1C2B" w:rsidP="0040356E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</w:p>
    <w:p w:rsidR="008A1C2B" w:rsidRPr="00894DC9" w:rsidRDefault="008A1C2B" w:rsidP="0045341B">
      <w:pPr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sectPr w:rsidR="008A1C2B" w:rsidRPr="00894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D5EB6"/>
    <w:multiLevelType w:val="hybridMultilevel"/>
    <w:tmpl w:val="B3B83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1B"/>
    <w:rsid w:val="00056FFF"/>
    <w:rsid w:val="000E3722"/>
    <w:rsid w:val="0010519F"/>
    <w:rsid w:val="00127026"/>
    <w:rsid w:val="00176E8E"/>
    <w:rsid w:val="001F2BAC"/>
    <w:rsid w:val="002237E4"/>
    <w:rsid w:val="002A07D3"/>
    <w:rsid w:val="002A71EA"/>
    <w:rsid w:val="002B1039"/>
    <w:rsid w:val="00332799"/>
    <w:rsid w:val="00334371"/>
    <w:rsid w:val="00334B9D"/>
    <w:rsid w:val="003509A1"/>
    <w:rsid w:val="003A5D0E"/>
    <w:rsid w:val="003E66A3"/>
    <w:rsid w:val="0040356E"/>
    <w:rsid w:val="004128A1"/>
    <w:rsid w:val="0045341B"/>
    <w:rsid w:val="00490C1E"/>
    <w:rsid w:val="00491E4E"/>
    <w:rsid w:val="004D0049"/>
    <w:rsid w:val="004F3979"/>
    <w:rsid w:val="00572F37"/>
    <w:rsid w:val="005D4F55"/>
    <w:rsid w:val="00602E4A"/>
    <w:rsid w:val="0064608E"/>
    <w:rsid w:val="006476AD"/>
    <w:rsid w:val="00657E0F"/>
    <w:rsid w:val="006D25C3"/>
    <w:rsid w:val="007177B2"/>
    <w:rsid w:val="007B3B4B"/>
    <w:rsid w:val="007F66E5"/>
    <w:rsid w:val="00820954"/>
    <w:rsid w:val="008651D7"/>
    <w:rsid w:val="0087747F"/>
    <w:rsid w:val="00894DC9"/>
    <w:rsid w:val="008A1C2B"/>
    <w:rsid w:val="008B16AC"/>
    <w:rsid w:val="008B70BF"/>
    <w:rsid w:val="008C5446"/>
    <w:rsid w:val="008E0A25"/>
    <w:rsid w:val="008E630D"/>
    <w:rsid w:val="008F4A80"/>
    <w:rsid w:val="00943480"/>
    <w:rsid w:val="00945C71"/>
    <w:rsid w:val="00A30558"/>
    <w:rsid w:val="00A87074"/>
    <w:rsid w:val="00A9640A"/>
    <w:rsid w:val="00AE2A8F"/>
    <w:rsid w:val="00B36D06"/>
    <w:rsid w:val="00BD3292"/>
    <w:rsid w:val="00BE1E6D"/>
    <w:rsid w:val="00C1229C"/>
    <w:rsid w:val="00C2084A"/>
    <w:rsid w:val="00C45ABE"/>
    <w:rsid w:val="00C511E6"/>
    <w:rsid w:val="00C62CD9"/>
    <w:rsid w:val="00C85D81"/>
    <w:rsid w:val="00CD18EC"/>
    <w:rsid w:val="00CE066D"/>
    <w:rsid w:val="00D2774B"/>
    <w:rsid w:val="00D50397"/>
    <w:rsid w:val="00DA044B"/>
    <w:rsid w:val="00DA3EB6"/>
    <w:rsid w:val="00E15F95"/>
    <w:rsid w:val="00E309C7"/>
    <w:rsid w:val="00E51737"/>
    <w:rsid w:val="00EB1883"/>
    <w:rsid w:val="00EC14E0"/>
    <w:rsid w:val="00EF09F4"/>
    <w:rsid w:val="00F2149A"/>
    <w:rsid w:val="00F238F8"/>
    <w:rsid w:val="00F3366B"/>
    <w:rsid w:val="00F87244"/>
    <w:rsid w:val="00FB6A59"/>
    <w:rsid w:val="00FD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611A4"/>
  <w15:chartTrackingRefBased/>
  <w15:docId w15:val="{2EDC20A7-6AAE-4060-9C65-724B84B5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6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3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BC3</Company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DE JESUS LOPEZ CASTRO</dc:creator>
  <cp:keywords/>
  <dc:description/>
  <cp:lastModifiedBy>GUILLERMO DE JESUS LOPEZ CASTRO</cp:lastModifiedBy>
  <cp:revision>23</cp:revision>
  <dcterms:created xsi:type="dcterms:W3CDTF">2024-01-18T12:19:00Z</dcterms:created>
  <dcterms:modified xsi:type="dcterms:W3CDTF">2024-03-15T18:10:00Z</dcterms:modified>
</cp:coreProperties>
</file>