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  <w:widowControl/>
        <w:spacing w:line="240" w:lineRule="auto"/>
        <w:jc w:val="left"/>
      </w:pPr>
      <w:r>
        <w:rPr>
          <w:rFonts w:ascii="Arial" w:hAnsi="Arial"/>
          <w:b/>
          <w:bCs/>
          <w:color w:val="9C0006"/>
          <w:sz w:val="20"/>
        </w:rPr>
        <w:t xml:space="preserve">PRE-RESULTS PREVIEW - NOT FOR SUBMISSION. Scientific result fields and author declarations remain unresolved. Do not upload this file to a journal.</w:t>
      </w:r>
    </w:p>
    <w:bookmarkStart w:id="41" w:name="X15374b6f582187952e7869f96643ffc88b1afe8"/>
    <w:p>
      <w:pPr>
        <w:pStyle w:val="Heading1"/>
        <w:widowControl/>
        <w:jc w:val="left"/>
      </w:pPr>
      <w:r>
        <w:rPr>
          <w:rFonts w:ascii="Arial" w:hAnsi="Arial"/>
        </w:rPr>
        <w:t xml:space="preserve">Capacity- and Compute-Matched Evaluation of Published BU-Net Components with Multi-Seed Development and Independent External Testing for Multimodal Glioma Segmentation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Article type: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Original Research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Summary statement: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[PENDING:SUMMARY_STATEMENT_FROM_FINAL_RESULT]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Key Points</w:t>
      </w:r>
    </w:p>
    <w:p>
      <w:pPr>
        <w:pStyle w:val="Compact"/>
        <w:widowControl/>
        <w:numPr>
          <w:ilvl w:val="0"/>
          <w:numId w:val="1001"/>
        </w:numPr>
        <w:jc w:val="left"/>
      </w:pPr>
      <w:r>
        <w:rPr>
          <w:rFonts w:ascii="Arial" w:hAnsi="Arial"/>
        </w:rPr>
        <w:t xml:space="preserve">[PENDING:KEY_POINT_PRIMARY_CAPACITY_CONTROLLED_EFFECT]</w:t>
      </w:r>
    </w:p>
    <w:p>
      <w:pPr>
        <w:pStyle w:val="Compact"/>
        <w:widowControl/>
        <w:numPr>
          <w:ilvl w:val="0"/>
          <w:numId w:val="1001"/>
        </w:numPr>
        <w:jc w:val="left"/>
      </w:pPr>
      <w:r>
        <w:rPr>
          <w:rFonts w:ascii="Arial" w:hAnsi="Arial"/>
        </w:rPr>
        <w:t xml:space="preserve">[PENDING:KEY_POINT_EXTERNAL_FAILURE_OR_DOMAIN_SHIFT]</w:t>
      </w:r>
    </w:p>
    <w:p>
      <w:pPr>
        <w:pStyle w:val="Compact"/>
        <w:widowControl/>
        <w:numPr>
          <w:ilvl w:val="0"/>
          <w:numId w:val="1001"/>
        </w:numPr>
        <w:jc w:val="left"/>
      </w:pPr>
      <w:r>
        <w:rPr>
          <w:rFonts w:ascii="Arial" w:hAnsi="Arial"/>
        </w:rPr>
        <w:t xml:space="preserve">[PENDING:KEY_POINT_RESOURCE_TRADEOFF]</w:t>
      </w:r>
    </w:p>
    <w:bookmarkStart w:id="13" w:name="abstract"/>
    <w:p>
      <w:pPr>
        <w:pStyle w:val="Heading2"/>
        <w:widowControl/>
        <w:jc w:val="left"/>
      </w:pPr>
      <w:r>
        <w:rPr>
          <w:rFonts w:ascii="Arial" w:hAnsi="Arial"/>
        </w:rPr>
        <w:t xml:space="preserve">Abstract</w:t>
      </w:r>
    </w:p>
    <w:bookmarkStart w:id="9" w:name="purpose"/>
    <w:p>
      <w:pPr>
        <w:pStyle w:val="Heading3"/>
        <w:widowControl/>
        <w:jc w:val="left"/>
      </w:pPr>
      <w:r>
        <w:rPr>
          <w:rFonts w:ascii="Arial" w:hAnsi="Arial"/>
        </w:rPr>
        <w:t xml:space="preserve">Purpose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To test whether the published Residual Extended Skip (RES) component retains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measurable benefit after parameter matching and to characterize uncertainty,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lesion-level failure, external domain shift, and measured resource cost.</w:t>
      </w:r>
    </w:p>
    <w:bookmarkEnd w:id="9"/>
    <w:bookmarkStart w:id="10" w:name="materials-and-methods"/>
    <w:p>
      <w:pPr>
        <w:pStyle w:val="Heading3"/>
        <w:widowControl/>
        <w:jc w:val="left"/>
      </w:pPr>
      <w:r>
        <w:rPr>
          <w:rFonts w:ascii="Arial" w:hAnsi="Arial"/>
        </w:rPr>
        <w:t xml:space="preserve">Materials and Methods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This retrospective public-data study used BraTS 2020 for development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BraTS-Africa for independent external testing. Twelve models were assigned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same five seeds in five patient-level folds. After development-only model,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loss, checkpoint, endpoint, and analysis freeze, the confirmatory external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cohort was evaluated once. The primary endpoint was patient-level mean whole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tumor, tumor core, and enhancing tumor Dice. The primary contrast compared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U-Net+RES with a parameter-matched plain U-Net using paired bootstrap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intervals, paired sign-flip tests with Holm correction, and hierarchical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seed-patient resampling.</w:t>
      </w:r>
    </w:p>
    <w:bookmarkEnd w:id="10"/>
    <w:bookmarkStart w:id="11" w:name="results"/>
    <w:p>
      <w:pPr>
        <w:pStyle w:val="Heading3"/>
        <w:widowControl/>
        <w:jc w:val="left"/>
      </w:pPr>
      <w:r>
        <w:rPr>
          <w:rFonts w:ascii="Arial" w:hAnsi="Arial"/>
        </w:rPr>
        <w:t xml:space="preserve">Results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external confirmatory analysis included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[PENDING:CONTRAST.UNET_RES_VS_UNET_PARAMETER_MATCHED_RES.PAIRED_PATIENT_COUNT]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paired patients. Mean regional Dice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[PENDING:CONTRAST.UNET_RES_VS_UNET_PARAMETER_MATCHED_RES.FIRST_MEAN]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U-Net+RES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[PENDING:CONTRAST.UNET_RES_VS_UNET_PARAMETER_MATCHED_RES.SECOND_MEAN]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the parameter-matched plain U-Net. The paired mean difference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[PENDING:CONTRAST.UNET_RES_VS_UNET_PARAMETER_MATCHED_RES.MEAN_DIFFERENCE]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(95% interval,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[PENDING:CONTRAST.UNET_RES_VS_UNET_PARAMETER_MATCHED_RES.PAIRED_BOOTSTRAP_LOWER_95]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[PENDING:CONTRAST.UNET_RES_VS_UNET_PARAMETER_MATCHED_RES.PAIRED_BOOTSTRAP_UPPER_95]);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Holm-adjusted P value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[PENDING:CONTRAST.UNET_RES_VS_UNET_PARAMETER_MATCHED_RES.HOLM_ADJUSTED_P].</w:t>
      </w:r>
      <w:r>
        <w:rPr>
          <w:rFonts w:ascii="Arial" w:hAnsi="Arial"/>
        </w:rPr>
        <w:t xml:space="preserve"> </w:t>
      </w:r>
    </w:p>
    <w:bookmarkEnd w:id="11"/>
    <w:bookmarkStart w:id="12" w:name="conclusion"/>
    <w:p>
      <w:pPr>
        <w:pStyle w:val="Heading3"/>
        <w:widowControl/>
        <w:jc w:val="left"/>
      </w:pPr>
      <w:r>
        <w:rPr>
          <w:rFonts w:ascii="Arial" w:hAnsi="Arial"/>
        </w:rPr>
        <w:t xml:space="preserve">Conclusion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result provides capacity-controlled external evidence about a published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BU-Net component and is bounded to the frozen cohorts, models, endpoints,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practical interpretation threshold.</w:t>
      </w:r>
    </w:p>
    <w:bookmarkEnd w:id="12"/>
    <w:bookmarkEnd w:id="13"/>
    <w:bookmarkStart w:id="14" w:name="introduction"/>
    <w:p>
      <w:pPr>
        <w:pStyle w:val="Heading2"/>
        <w:widowControl/>
        <w:jc w:val="left"/>
      </w:pPr>
      <w:r>
        <w:rPr>
          <w:rFonts w:ascii="Arial" w:hAnsi="Arial"/>
        </w:rPr>
        <w:t xml:space="preserve">Introduction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Glioma segmentation in multimodal magnetic resonance imaging supports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quantitative description of whole tumor (WT), tumor core (TC), and enhancing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tumor (ET), but it is also a setting in which evaluation design can dominate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 apparent architectural improvement. The BraTS benchmark formalized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multimodal subregion segmentation and complementary overlap and boundary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metrics [1]. U-Net established an encoder-decoder reference with lateral skip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connections [2], followed by residual, contextual, self-configuring,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transformer-based variants.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RES and WC are not new components of the present work. Rehman et al.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introduced both in BU-Net: RES transforms information along extended skip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pathways, whereas WC uses asymmetric contextual convolutions [3]. Conventional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residual blocks have a separate origin in residual learning [4]. Conflating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these elements, or comparing a wider component model only with a smaller plain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U-Net, cannot isolate why performance differs.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Several additional sources of bias matter. Training stochasticity can change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medical-segmentation rankings [5,6]. A self-configuring system such as nnU-Net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can outperform manually assembled networks through coordinated choices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preprocessing, training, and inference [7], and controlled reevaluation has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shown why modern architectures require strong, fairly tuned baselines [8].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Volumetric and hybrid systems, including TransBTS, nnFormer, and Swin UNETR,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also make a purely bounded 2D comparison an incomplete account of the field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[9–11].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Metric choice further limits interpretation. Regional Dice does not describe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boundary displacement, missed lesions, false-positive lesions, or empty-mask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behavior. Metrics Reloaded recommends choosing complementary measures from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task’s problem fingerprint [12]. CLAIM 2024 similarly emphasizes transparent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cohort construction, independent evaluation, and complete reporting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medical imaging AI [13].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We therefore framed the work as a controlled evaluation rather than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new-network paper. The primary question was whether RES improves external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patient-level mean regional Dice relative to a plain U-Net matched to its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parameter capacity. Prespecified secondary analyses evaluated the same-width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compute-matched contrasts, WC and BU-Net configurations, strong baselines,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seed-patient uncertainty, lesion and boundary failure, external subgroups,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measured cost. Negative findings were retained by design.</w:t>
      </w:r>
    </w:p>
    <w:bookmarkEnd w:id="14"/>
    <w:bookmarkStart w:id="26" w:name="materials-and-methods-1"/>
    <w:p>
      <w:pPr>
        <w:pStyle w:val="Heading2"/>
        <w:widowControl/>
        <w:jc w:val="left"/>
      </w:pPr>
      <w:r>
        <w:rPr>
          <w:rFonts w:ascii="Arial" w:hAnsi="Arial"/>
        </w:rPr>
        <w:t xml:space="preserve">Materials and Methods</w:t>
      </w:r>
    </w:p>
    <w:bookmarkStart w:id="15" w:name="study-design-and-leakage-controls"/>
    <w:p>
      <w:pPr>
        <w:pStyle w:val="Heading3"/>
        <w:widowControl/>
        <w:jc w:val="left"/>
      </w:pPr>
      <w:r>
        <w:rPr>
          <w:rFonts w:ascii="Arial" w:hAnsi="Arial"/>
        </w:rPr>
        <w:t xml:space="preserve">Study design and leakage controls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study was defined before confirmatory external inference. BraTS 2020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training data formed the complete development cohort. BraTS 2019 was used only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identity and duplicate auditing and contributed no additional patient.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legacy internal held-out subset was not reopened for any new model,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threshold, loss, post-processing choice, or confirmatory inference.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All splits were patient-level.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[PENDING:DESIGN.DEVELOPMENT_PATIENTS] development patients were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assigned deterministically to [PENDING:DESIGN.FOLDS] folds stratified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by grade when available, ET presence, and WT burden. Every patient occurred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one validation fold and in no other validation fold. Slice-level random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splitting was prohibited.</w:t>
      </w:r>
    </w:p>
    <w:bookmarkEnd w:id="15"/>
    <w:bookmarkStart w:id="16" w:name="development-and-external-cohorts"/>
    <w:p>
      <w:pPr>
        <w:pStyle w:val="Heading3"/>
        <w:widowControl/>
        <w:jc w:val="left"/>
      </w:pPr>
      <w:r>
        <w:rPr>
          <w:rFonts w:ascii="Arial" w:hAnsi="Arial"/>
        </w:rPr>
        <w:t xml:space="preserve">Development and external cohorts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For each BraTS 2020 patient, the audit recorded identifiers, four modality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segmentation paths, file hashes, NIfTI geometry, affine/orientation, data type,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finite-value checks, label set, and regional tumor burden. The expected label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set was background, necrotic/non-enhancing tumor, edema, and enhancing tumor.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Raw files were read-only and all caches were written outside dataset roots.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The independent cohort was the processed BraTS-Africa TCIA release [14].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Before model inference, each external patient was checked for four modalities,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readable labels, label conversion, geometry, and metadata. Identifier, raw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hash, normalized content, sampled content, and normalized-volume signatures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were compared against all development patients. The primary external cohort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contained only glioma; other neoplasms were excluded from confirmatory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inference and retained as supportive evidence.</w:t>
      </w:r>
    </w:p>
    <w:bookmarkEnd w:id="16"/>
    <w:bookmarkStart w:id="17" w:name="preprocessing"/>
    <w:p>
      <w:pPr>
        <w:pStyle w:val="Heading3"/>
        <w:widowControl/>
        <w:jc w:val="left"/>
      </w:pPr>
      <w:r>
        <w:rPr>
          <w:rFonts w:ascii="Arial" w:hAnsi="Arial"/>
        </w:rPr>
        <w:t xml:space="preserve">Preprocessing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input order was T1, contrast-enhanced T1, T2, and FLAIR. Intensities were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z-normalized independently by modality over nonzero brain voxels. Spatial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augmentation used one transform for all modalities and the segmentation;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intensity augmentation was modality-specific. Training sampling could enrich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tumor-containing slices or patches, but validation and external evaluation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retained the complete volume, including empty slices, so false-positive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behavior remained measurable.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Four-class outputs used softmax with the BraTS label mapping. Region metrics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were derived as WT = labels {1,2,4}, TC = labels {1,4}, and ET = label {4}.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Any nested-region consistency operation was an explicit evaluation stage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was never hidden inside metric computation.</w:t>
      </w:r>
    </w:p>
    <w:bookmarkEnd w:id="17"/>
    <w:bookmarkStart w:id="18" w:name="models-and-component-attribution"/>
    <w:p>
      <w:pPr>
        <w:pStyle w:val="Heading3"/>
        <w:widowControl/>
        <w:jc w:val="left"/>
      </w:pPr>
      <w:r>
        <w:rPr>
          <w:rFonts w:ascii="Arial" w:hAnsi="Arial"/>
        </w:rPr>
        <w:t xml:space="preserve">Models and component attribution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frozen matrix included U-Net-Small; plain U-Nets matched to U-Net+RES by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parameters and by declared-input compute; U-Net+RES; U-Net+WC; BU-Net;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ResBlock-U-Net; ResBlock-U-Net+WC; official nnU-Net v2 2D; an official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hardware-feasible nnU-Net v2 3D full-resolution plan; a five-slice 2.5D U-Net;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MONAI Swin UNETR.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RES and WC followed BU-Net attribution [3]. The ResBlock models used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conventional residual mappings sourced to residual learning [4]; they were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controls, not novel architectures. The parameter-matched and compute-matched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plain U-Nets were chosen by deterministic width/depth search before outcomes.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Parameter difference and compute difference were treated as separate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constraints rather than collapsed into a subjective score.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Official nnU-Net v2 planning, preprocessing, folds, and trainers were retained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where compatible with the frozen data contract [7,8]. The 2.5D comparator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stacked five consecutive slices in modality-major order and predicted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center slice, with boundary replication [15]. Swin UNETR used the published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hierarchical Swin encoder through the maintained MONAI implementation [11].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 literature score was entered as an experimental observation.</w:t>
      </w:r>
    </w:p>
    <w:bookmarkEnd w:id="18"/>
    <w:bookmarkStart w:id="19" w:name="loss-selection-and-optimization"/>
    <w:p>
      <w:pPr>
        <w:pStyle w:val="Heading3"/>
        <w:widowControl/>
        <w:jc w:val="left"/>
      </w:pPr>
      <w:r>
        <w:rPr>
          <w:rFonts w:ascii="Arial" w:hAnsi="Arial"/>
        </w:rPr>
        <w:t xml:space="preserve">Loss selection and optimization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Loss was selected using development folds only. The candidates were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cross-entropy plus soft Dice, binary cross-entropy plus focal Tversky,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cross-entropy plus focal Tversky. Focal Tversky was attributed to Abraham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Khan [16]. The selected objective was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[PENDING:METHOD.SELECTED_LOSS]</w:t>
      </w:r>
      <w:r>
        <w:rPr>
          <w:rFonts w:ascii="Arial" w:hAnsi="Arial"/>
        </w:rPr>
        <w:t xml:space="preserve">. Its executable alpha, beta, gamma,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smoothing, channel activation, and background inclusion were stored in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versioned loss catalog and resolved run configuration.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Native 2D models used AdamW with initial learning rate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[PENDING:METHOD.INITIAL_LEARNING_RATE_NATIVE_2D], weight decay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[PENDING:METHOD.WEIGHT_DECAY], and effective batch size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[PENDING:METHOD.EFFECTIVE_BATCH_SIZE_NATIVE_2D]. One warmup-cosine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schedule was used; no second scheduler modified the same learning rate.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Validation occurred every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[PENDING:METHOD.VALIDATION_FREQUENCY_OPTIMIZER_STEPS] optimizer steps.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Convergence runs allowed at most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[PENDING:METHOD.MAXIMUM_OPTIMIZER_STEPS] optimizer steps. Early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stopping was disabled before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[PENDING:METHOD.MINIMUM_OPTIMIZER_STEPS_BEFORE_EARLY_STOPPING] steps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then required a minimum patient-level mean regional Dice improvement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[PENDING:METHOD.EARLY_STOPPING_MINIMUM_DELTA] within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[PENDING:METHOD.EARLY_STOPPING_PATIENCE_CHECKS] validation checks.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Best and terminal checkpoints were both retained. Compute-matched core runs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stopped at a synchronized accelerator budget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[PENDING:METHOD.COMPUTE_MATCHED_HOURS_PER_RUN] hours per run rather than 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 equal epoch count.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Every main model used the same [PENDING:DESIGN.SEEDS] seeds in every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fold. Failed runs were reported and could not be silently replaced. Model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selection, loss selection, and convergence decisions used development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artifacts only.</w:t>
      </w:r>
    </w:p>
    <w:bookmarkEnd w:id="19"/>
    <w:bookmarkStart w:id="20" w:name="central-evaluation"/>
    <w:p>
      <w:pPr>
        <w:pStyle w:val="Heading3"/>
        <w:widowControl/>
        <w:jc w:val="left"/>
      </w:pPr>
      <w:r>
        <w:rPr>
          <w:rFonts w:ascii="Arial" w:hAnsi="Arial"/>
        </w:rPr>
        <w:t xml:space="preserve">Central evaluation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One evaluator decoded native, MONAI, and nnU-Net predictions and produced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patient-level metrics. The primary endpoint was the arithmetic mean of WT, TC,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ET Dice for each patient. Secondary endpoints included regional HD95,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surface Dice, sensitivity, precision, specificity, relative volume error,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lesion recall, lesion precision, lesion-wise Dice, lesion-wise HD95,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false-positive lesion count. Pixel accuracy was not a primary endpoint.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Lesions were three-dimensional connected components under frozen connectivity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minimum-volume settings. Ground-truth and predicted lesions were paired by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prespecified one-to-one rule. One-empty HD95 remained positive infinity;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reports separated its rate from finite medians and interquartile ranges.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Evaluation-sensitivity settings changed only connectivity, minimum lesion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volume, and reporting caps and did not replace the primary definition.</w:t>
      </w:r>
    </w:p>
    <w:bookmarkEnd w:id="20"/>
    <w:bookmarkStart w:id="21" w:name="external-evaluation"/>
    <w:p>
      <w:pPr>
        <w:pStyle w:val="Heading3"/>
        <w:widowControl/>
        <w:jc w:val="left"/>
      </w:pPr>
      <w:r>
        <w:rPr>
          <w:rFonts w:ascii="Arial" w:hAnsi="Arial"/>
        </w:rPr>
        <w:t xml:space="preserve">External evaluation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Gate G required all [PENDING:DESIGN.DEVELOPMENT_RUNS] development runs,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required checkpoints, complete validation metrics, frozen loss and nnU-Net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plan, environment hashes, and the prespecified statistical inputs. Only its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passing freeze authorized Gate H.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Gate H was one external session. It evaluated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[PENDING:DESIGN.EXTERNAL_MAIN_CHECKPOINTS] frozen main checkpoints 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all external patients without retraining, threshold selection,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post-processing selection, or label-informed normalization adaptation.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Checkpoint predictions were aggregated within each model by a prespecified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nested-region strict majority vote. All checkpoint failures were retained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blocked a passing external gate.</w:t>
      </w:r>
    </w:p>
    <w:bookmarkEnd w:id="21"/>
    <w:bookmarkStart w:id="22" w:name="statistical-analysis"/>
    <w:p>
      <w:pPr>
        <w:pStyle w:val="Heading3"/>
        <w:widowControl/>
        <w:jc w:val="left"/>
      </w:pPr>
      <w:r>
        <w:rPr>
          <w:rFonts w:ascii="Arial" w:hAnsi="Arial"/>
        </w:rPr>
        <w:t xml:space="preserve">Statistical analysis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primary contrast was U-Net+RES minus the parameter-matched plain U-Net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external patient-level mean regional Dice. The paired patient bootstrap used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[PENDING:METHOD.PAIRED_BOOTSTRAP_RESAMPLES] resamples and confidence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level [PENDING:METHOD.CONFIDENCE_LEVEL]. A two-sided paired sign-flip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test used [PENDING:METHOD.PAIRED_PERMUTATION_RESAMPLES] Monte Carlo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resamples. The primary and four prespecified secondary contrasts formed one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Holm family with alpha [PENDING:METHOD.MULTIPLICITY_ALPHA].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The practical interpretation threshold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[PENDING:METHOD.PRACTICAL_THRESHOLD] mean regional Dice. It was not called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clinical minimal important difference and was not an equivalence 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noninferiority margin. Effect reporting included the paired mean and median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difference, percentile interval, standardized paired effect, adjusted and raw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 values, and probability of superiority.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Hierarchical uncertainty resampled training seeds and then patients; folds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were averaged in the primary hierarchy and resampled in sensitivity analysis.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mixed-effects model with model and fold fixed effects and patient and seed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random intercepts was sensitivity analysis only. External institution,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scanner, field strength, grade when available, ET presence, development-based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tumor burden, and resolution subgroups were exploratory and reported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explicit denominators and no confirmatory interpretation.</w:t>
      </w:r>
    </w:p>
    <w:bookmarkEnd w:id="22"/>
    <w:bookmarkStart w:id="23" w:name="resource-analysis"/>
    <w:p>
      <w:pPr>
        <w:pStyle w:val="Heading3"/>
        <w:widowControl/>
        <w:jc w:val="left"/>
      </w:pPr>
      <w:r>
        <w:rPr>
          <w:rFonts w:ascii="Arial" w:hAnsi="Arial"/>
        </w:rPr>
        <w:t xml:space="preserve">Resource analysis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Parameters, FLOPs, MAC-equivalents, declared input shapes, activation sizes,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a receptive-field proxy were generated from executable model graphs.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Training time used synchronized optimizer-step measurements after a frozen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warmup. Inference timing separated preprocessing, model forward,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post-processing, and end-to-end latency for each patient volume. On Apple MPS,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memory was reported as framework-allocated and driver-allocated unified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memory, not VRAM.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Accuracy was plotted separately against each cost dimension and in 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all-measured-cost non-dominance view. No subjective efficiency score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constructed, and “efficient” was not inferred from parameter count alone.</w:t>
      </w:r>
    </w:p>
    <w:bookmarkEnd w:id="23"/>
    <w:bookmarkStart w:id="24" w:name="qualitative-analysis"/>
    <w:p>
      <w:pPr>
        <w:pStyle w:val="Heading3"/>
        <w:widowControl/>
        <w:jc w:val="left"/>
      </w:pPr>
      <w:r>
        <w:rPr>
          <w:rFonts w:ascii="Arial" w:hAnsi="Arial"/>
        </w:rPr>
        <w:t xml:space="preserve">Qualitative analysis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Case identities were selected after evaluation by six frozen rules: highest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patient-average regional Dice, cohort median, lowest finite ET lesion-wise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Dice, largest false-positive lesion burden, largest regional HD95, and largest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pairwise model disagreement. Ties used larger reference WT volume and then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anonymized patient identifier. The language “prespecified cases”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prohibited; only the selection rules were prespecified.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Each panel displayed four modalities, reference labels, reference WT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components, predictions from all models, and WT false-positive/false-negative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overlays. The axial slice had the largest reference WT area, with the lowest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slice index breaking ties. This analysis performed no new inference.</w:t>
      </w:r>
    </w:p>
    <w:bookmarkEnd w:id="24"/>
    <w:bookmarkStart w:id="25" w:name="reproducibility-and-claim-provenance"/>
    <w:p>
      <w:pPr>
        <w:pStyle w:val="Heading3"/>
        <w:widowControl/>
        <w:jc w:val="left"/>
      </w:pPr>
      <w:r>
        <w:rPr>
          <w:rFonts w:ascii="Arial" w:hAnsi="Arial"/>
        </w:rPr>
        <w:t xml:space="preserve">Reproducibility and claim provenance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Each run stored the Git commit, resolved configuration and hash, fold and data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hashes, environment and hardware records, random seed, optimizer/scheduler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state, best and terminal checkpoint hashes, patient metrics, resource profile,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explicit failure status. Interrupted native MPS runs restored Python,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NumPy, and PyTorch CPU RNG state; bitwise claims were restricted to tested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contexts.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Gate I rehashed the complete development, external, analysis, table,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figure bundle and reran code checks in a data-free clean clone. Numerical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analyses and standard result figures had to regenerate byte-identically.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Qualitative panels were hash-verified; their rerender required the ignored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derived image cache and was identified as a separate scope boundary. This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artifact audit was not described as full retraining.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Gate J generated manuscript values from a machine-readable claim registry.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Every substituted value retained its source file hash, row selector, column,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format, registry hash, and rendered-document hash. Manual numeric result entry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inside artifact-bound Results blocks was prohibited.</w:t>
      </w:r>
    </w:p>
    <w:bookmarkEnd w:id="25"/>
    <w:bookmarkEnd w:id="26"/>
    <w:bookmarkStart w:id="31" w:name="results-1"/>
    <w:p>
      <w:pPr>
        <w:pStyle w:val="Heading2"/>
        <w:widowControl/>
        <w:jc w:val="left"/>
      </w:pPr>
      <w:r>
        <w:rPr>
          <w:rFonts w:ascii="Arial" w:hAnsi="Arial"/>
        </w:rPr>
        <w:t xml:space="preserve">Results</w:t>
      </w:r>
    </w:p>
    <w:bookmarkStart w:id="27" w:name="cohort-and-execution-integrity"/>
    <w:p>
      <w:pPr>
        <w:pStyle w:val="Heading3"/>
        <w:widowControl/>
        <w:jc w:val="left"/>
      </w:pPr>
      <w:r>
        <w:rPr>
          <w:rFonts w:ascii="Arial" w:hAnsi="Arial"/>
        </w:rPr>
        <w:t xml:space="preserve">Cohort and execution integrity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All [PENDING:DESIGN.DEVELOPMENT_PATIENTS] development patients were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assigned to exactly one validation fold. The external confirmatory analysis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contained [PENDING:DESIGN.EXTERNAL_CONFIRMATORY_PATIENTS] glioma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patients, and the supportive analysis contained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[PENDING:DESIGN.EXTERNAL_SUPPORTIVE_PATIENTS] other-neoplasm patients.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complete main external matrix comprised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[PENDING:DESIGN.EXTERNAL_MAIN_CHECKPOINTS] checkpoint evaluations.</w:t>
      </w:r>
    </w:p>
    <w:bookmarkEnd w:id="27"/>
    <w:bookmarkStart w:id="28" w:name="primary-capacity-controlled-comparison"/>
    <w:p>
      <w:pPr>
        <w:pStyle w:val="Heading3"/>
        <w:widowControl/>
        <w:jc w:val="left"/>
      </w:pPr>
      <w:r>
        <w:rPr>
          <w:rFonts w:ascii="Arial" w:hAnsi="Arial"/>
        </w:rPr>
        <w:t xml:space="preserve">Primary capacity-controlled comparison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U-Net+RES had mean external patient-level regional Dice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[PENDING:CONTRAST.UNET_RES_VS_UNET_PARAMETER_MATCHED_RES.FIRST_MEAN],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compared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[PENDING:CONTRAST.UNET_RES_VS_UNET_PARAMETER_MATCHED_RES.SECOND_MEAN]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the parameter-matched plain U-Net. The paired mean difference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[PENDING:CONTRAST.UNET_RES_VS_UNET_PARAMETER_MATCHED_RES.MEAN_DIFFERENCE];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median difference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[PENDING:CONTRAST.UNET_RES_VS_UNET_PARAMETER_MATCHED_RES.MEDIAN_DIFFERENCE].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paired percentile interval extended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[PENDING:CONTRAST.UNET_RES_VS_UNET_PARAMETER_MATCHED_RES.PAIRED_BOOTSTRAP_LOWER_95]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[PENDING:CONTRAST.UNET_RES_VS_UNET_PARAMETER_MATCHED_RES.PAIRED_BOOTSTRAP_UPPER_95].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standardized paired effect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[PENDING:CONTRAST.UNET_RES_VS_UNET_PARAMETER_MATCHED_RES.STANDARDIZED_PAIRED_EFFECT_DZ],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Holm-adjusted p value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[PENDING:CONTRAST.UNET_RES_VS_UNET_PARAMETER_MATCHED_RES.HOLM_ADJUSTED_P],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the probability of superiority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[PENDING:CONTRAST.UNET_RES_VS_UNET_PARAMETER_MATCHED_RES.PROBABILITY_OF_SUPERIORITY].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[PENDING:CONTRAST.UNET_RES_VS_UNET_PARAMETER_MATCHED_RES.INTERPRETATION_TEXT]</w:t>
      </w:r>
    </w:p>
    <w:bookmarkEnd w:id="28"/>
    <w:bookmarkStart w:id="29" w:name="resource-realization"/>
    <w:p>
      <w:pPr>
        <w:pStyle w:val="Heading3"/>
        <w:widowControl/>
        <w:jc w:val="left"/>
      </w:pPr>
      <w:r>
        <w:rPr>
          <w:rFonts w:ascii="Arial" w:hAnsi="Arial"/>
        </w:rPr>
        <w:t xml:space="preserve">Resource realization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U-Net+RES contained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[PENDING:RESOURCE.UNET_RES.PARAMETER_COUNT] parameters and required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[PENDING:RESOURCE.UNET_RES.FLOPS_PER_DECLARED_INPUT] FLOPs per declared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input. Mean training time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[PENDING:RESOURCE.UNET_RES.TRAINING_ACCELERATOR_HOURS_MEAN] accelerator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hours per fold-seed run, and median external end-to-end latency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[PENDING:RESOURCE.UNET_RES.INFERENCE_END_TO_END_P50_SECONDS] seconds per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volume. Peak framework-allocated unified memory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[PENDING:RESOURCE.UNET_RES.TRAINING_PEAK_FRAMEWORK_ALLOCATED_UNIFIED_MEMORY_BYTES_MAX]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bytes.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The parameter-matched plain U-Net contained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[PENDING:RESOURCE.UNET_PARAMETER_MATCHED_RES.PARAMETER_COUNT]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parameters, required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[PENDING:RESOURCE.UNET_PARAMETER_MATCHED_RES.FLOPS_PER_DECLARED_INPUT]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FLOPs per declared input, and had median end-to-end latency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[PENDING:RESOURCE.UNET_PARAMETER_MATCHED_RES.INFERENCE_END_TO_END_P50_SECONDS]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seconds per volume. Accuracy-cost non-dominance was reported separately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parameters, FLOPs, training time, allocated unified memory, and end-to-end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latency.</w:t>
      </w:r>
    </w:p>
    <w:bookmarkEnd w:id="29"/>
    <w:bookmarkStart w:id="30" w:name="Xf92f0008c42ff3f8ec54d98d2b194c6e45d3fdb"/>
    <w:p>
      <w:pPr>
        <w:pStyle w:val="Heading3"/>
        <w:widowControl/>
        <w:jc w:val="left"/>
      </w:pPr>
      <w:r>
        <w:rPr>
          <w:rFonts w:ascii="Arial" w:hAnsi="Arial"/>
        </w:rPr>
        <w:t xml:space="preserve">Secondary, lesion, subgroup, and qualitative results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All prespecified model contrasts and all frozen models were retained in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generated tables, including negative and failed outcomes. Regional overlap,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boundary, empty-mask, lesion detection, lesion-wise, and false-positive lesion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endpoints were reported without replacing the primary endpoint. Supportive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other-neoplasm results and development-budget sensitivities were separated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from the external confirmatory analysis.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Subgroup estimates were exploratory. Cells below the frozen minimum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denominator were labeled descriptive, confidence intervals were withheld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those cells, and no multiplicity-adjusted subgroup claim was made.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Qualitative panels were chosen by the frozen rules and not by manual case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preference.</w:t>
      </w:r>
      <w:r>
        <w:rPr>
          <w:rFonts w:ascii="Arial" w:hAnsi="Arial"/>
        </w:rPr>
        <w:t xml:space="preserve"> </w:t>
      </w:r>
    </w:p>
    <w:bookmarkEnd w:id="30"/>
    <w:bookmarkEnd w:id="31"/>
    <w:bookmarkStart w:id="34" w:name="discussion"/>
    <w:p>
      <w:pPr>
        <w:pStyle w:val="Heading2"/>
        <w:widowControl/>
        <w:jc w:val="left"/>
      </w:pPr>
      <w:r>
        <w:rPr>
          <w:rFonts w:ascii="Arial" w:hAnsi="Arial"/>
        </w:rPr>
        <w:t xml:space="preserve">Discussion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primary result was: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[PENDING:CONTRAST.UNET_RES_VS_UNET_PARAMETER_MATCHED_RES.INTERPRETATION_TEXT]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This statement is intentionally narrower than a generic claim that residual 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context modules improve glioma segmentation. It applies to the exact published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 implementation, its parameter-matched control, the common seeds and folds,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frozen loss and convergence rules, and the independent confirmatory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cohort.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The same-width contrast addresses the behavior of the historical base-width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comparison but remains capacity-confounded. The parameter-matched contrast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primary component estimand, whereas the compute-matched contrast tests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different constraint. Agreement among these views would strengthen a component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interpretation; disagreement would show that the answer depends on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resource constraint. The study therefore does not collapse them into one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ranking.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The strong baselines provide context rather than a tournament assembled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literature scores. nnU-Net tests whether coordinated pipeline configuration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outweighs a handcrafted component change [7,8]. The 2.5D and 3D systems test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whether through-plane context changes the bounded 2D conclusion [11,15].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Because all predictions pass through one evaluator and one external cohort,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differences are not attributed to unmatched datasets or metric code.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Lesion and boundary results are central to interpretation. A favorable mean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Dice can coexist with missed ET lesions, infinite one-empty HD95, 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false-positive components. We therefore report the complete endpoint family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use qualitative panels to expose success, central tendency, hard failure,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false-positive burden, boundary failure, and inter-model disagreement. These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panels illustrate measured behavior; they do not estimate prevalence 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replace patient-level statistics.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External evaluation on BraTS-Africa introduces population, institution,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acquisition shift that is absent from an internal split [14]. It does not,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however, establish universal transportability or clinical utility.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processed cohort and reference labels have their own selection and annotation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processes, and the supportive other-neoplasm cases are not part of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confirmatory estimand.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Resource interpretation is similarly bounded. Parameter count, graph compute,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training time, allocated unified memory, and latency measure different costs.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model can be favorable on one axis and unfavorable on another. The Pareto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views preserve those tradeoffs and avoid converting heterogeneous costs into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 arbitrary efficiency score.</w:t>
      </w:r>
    </w:p>
    <w:bookmarkStart w:id="32" w:name="limitations"/>
    <w:p>
      <w:pPr>
        <w:pStyle w:val="Heading3"/>
        <w:widowControl/>
        <w:jc w:val="left"/>
      </w:pPr>
      <w:r>
        <w:rPr>
          <w:rFonts w:ascii="Arial" w:hAnsi="Arial"/>
        </w:rPr>
        <w:t xml:space="preserve">Limitations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First, this is a retrospective public-data study and does not evaluate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prospective clinical workflow. Second, the confirmatory cohort is independent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BraTS 2020 by the implemented overlap audit, but it is not representative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every institution, scanner, tumor phenotype, or annotation practice.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Third, the primary practical threshold is a prespecified interpretation rule,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not a clinical minimal important difference. Fourth, some comparators differ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dimensionality and official training systems; equal patients, folds, seeds,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evaluator, and reporting do not make their optimization procedures identical.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Fifth, Apple MPS results describe the realized unified-memory device and should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not be generalized to CUDA throughput or memory without new measurements.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Sixth, artifact-level clean-clone reproduction does not constitute full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data-and-compute retraining.</w:t>
      </w:r>
    </w:p>
    <w:bookmarkEnd w:id="32"/>
    <w:bookmarkStart w:id="33" w:name="conclusion-1"/>
    <w:p>
      <w:pPr>
        <w:pStyle w:val="Heading3"/>
        <w:widowControl/>
        <w:jc w:val="left"/>
      </w:pPr>
      <w:r>
        <w:rPr>
          <w:rFonts w:ascii="Arial" w:hAnsi="Arial"/>
        </w:rPr>
        <w:t xml:space="preserve">Conclusion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This study evaluates published BU-Net components under patient-level,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equal-seed, capacity- and compute-aware development with a single frozen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external session.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[PENDING:CONTRAST.UNET_RES_VS_UNET_PARAMETER_MATCHED_RES.INTERPRETATION_TEXT]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contribution is controlled evidence and traceability, not a claim that 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or WC was invented here. Clinical utility, universal generalization,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state-of-the-art performance are not established.</w:t>
      </w:r>
    </w:p>
    <w:bookmarkEnd w:id="33"/>
    <w:bookmarkEnd w:id="34"/>
    <w:bookmarkStart w:id="35" w:name="data-availability"/>
    <w:p>
      <w:pPr>
        <w:pStyle w:val="Heading2"/>
        <w:widowControl/>
        <w:jc w:val="left"/>
      </w:pPr>
      <w:r>
        <w:rPr>
          <w:rFonts w:ascii="Arial" w:hAnsi="Arial"/>
        </w:rPr>
        <w:t xml:space="preserve">Data availability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BraTS 2020 and BraTS-Africa remain subject to their source access terms. Raw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medical images and labels are not redistributed by this repository. Versioned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manifests, hashes, split assignments, and data-setup instructions are provided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 permit authorized reconstruction without exposing source data.</w:t>
      </w:r>
    </w:p>
    <w:bookmarkEnd w:id="35"/>
    <w:bookmarkStart w:id="36" w:name="code-and-artifact-availability"/>
    <w:p>
      <w:pPr>
        <w:pStyle w:val="Heading2"/>
        <w:widowControl/>
        <w:jc w:val="left"/>
      </w:pPr>
      <w:r>
        <w:rPr>
          <w:rFonts w:ascii="Arial" w:hAnsi="Arial"/>
        </w:rPr>
        <w:t xml:space="preserve">Code and artifact availability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The source code, frozen configurations, tests, and nonrestricted audit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artifacts are available at the project repository. A release identifier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archival DOI will be inserted only after the final passing artifact bundle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created. Model checkpoint redistribution is subject to author confirmation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applicable data-derived artifact terms.</w:t>
      </w:r>
    </w:p>
    <w:bookmarkEnd w:id="36"/>
    <w:bookmarkStart w:id="37" w:name="anonymized-acknowledgments"/>
    <w:p>
      <w:pPr>
        <w:pStyle w:val="Heading2"/>
        <w:widowControl/>
        <w:jc w:val="left"/>
      </w:pPr>
      <w:r>
        <w:rPr>
          <w:rFonts w:ascii="Arial" w:hAnsi="Arial"/>
        </w:rPr>
        <w:t xml:space="preserve">Anonymized Acknowledgments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[AUTHOR CONFIRMATION REQUIRED: enter an anonymized acknowledgment or state none.]</w:t>
      </w:r>
    </w:p>
    <w:bookmarkEnd w:id="37"/>
    <w:bookmarkStart w:id="38" w:name="figure-legends"/>
    <w:p>
      <w:pPr>
        <w:pStyle w:val="Heading2"/>
        <w:widowControl/>
        <w:jc w:val="left"/>
      </w:pPr>
      <w:r>
        <w:rPr>
          <w:rFonts w:ascii="Arial" w:hAnsi="Arial"/>
        </w:rPr>
        <w:t xml:space="preserve">Figure Legends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[GENERATED DURING FINAL BUILD: no more than six figures.]</w:t>
      </w:r>
    </w:p>
    <w:bookmarkEnd w:id="38"/>
    <w:bookmarkStart w:id="39" w:name="references"/>
    <w:p>
      <w:pPr>
        <w:pStyle w:val="Heading2"/>
        <w:widowControl/>
        <w:jc w:val="left"/>
      </w:pPr>
      <w:r>
        <w:rPr>
          <w:rFonts w:ascii="Arial" w:hAnsi="Arial"/>
        </w:rPr>
        <w:t xml:space="preserve">References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Menze BH, Jakab A, Bauer S, et al. The Multimodal Brain Tumor Image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Segmentation Benchmark (BRATS).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IEEE Transactions on Medical Imaging</w:t>
      </w:r>
      <w:r>
        <w:rPr>
          <w:rFonts w:ascii="Arial" w:hAnsi="Arial"/>
        </w:rPr>
        <w:t xml:space="preserve">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2015;34:1993–2024. doi:10.1109/TMI.2014.2377694.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Ronneberger O, Fischer P, Brox T. U-Net: Convolutional Networks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Biomedical Image Segmentation.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MICCAI</w:t>
      </w:r>
      <w:r>
        <w:rPr>
          <w:rFonts w:ascii="Arial" w:hAnsi="Arial"/>
        </w:rPr>
        <w:t xml:space="preserve">. 2015:234–241.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doi:10.1007/978-3-319-24574-4_28.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Rehman MU, Cho S, Kim JH, Chong KT. BU-Net: Brain Tumor Segmentation Using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Modified U-Net Architecture.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Electronics</w:t>
      </w:r>
      <w:r>
        <w:rPr>
          <w:rFonts w:ascii="Arial" w:hAnsi="Arial"/>
        </w:rPr>
        <w:t xml:space="preserve">. 2020;9:2203.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doi:10.3390/electronics9122203.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He K, Zhang X, Ren S, Sun J. Deep Residual Learning for Image Recognition.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CVPR</w:t>
      </w:r>
      <w:r>
        <w:rPr>
          <w:rFonts w:ascii="Arial" w:hAnsi="Arial"/>
        </w:rPr>
        <w:t xml:space="preserve">. 2016:770–778. doi:10.1109/CVPR.2016.90.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Renard F, Guedria S, De Palma N, Vuillerme N. Variability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reproducibility in deep learning for medical image segmentation.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Scientific Reports</w:t>
      </w:r>
      <w:r>
        <w:rPr>
          <w:rFonts w:ascii="Arial" w:hAnsi="Arial"/>
        </w:rPr>
        <w:t xml:space="preserve">. 2020;10:13724.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doi:10.1038/s41598-020-69920-0.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Åkesson J, Töger J, Heiberg E. Random effects during training: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implications for deep learning-based medical image segmentation.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Computers in Biology and Medicine</w:t>
      </w:r>
      <w:r>
        <w:rPr>
          <w:rFonts w:ascii="Arial" w:hAnsi="Arial"/>
        </w:rPr>
        <w:t xml:space="preserve">. 2024;180:108944.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doi:10.1016/j.compbiomed.2024.108944.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Isensee F, Jaeger PF, Kohl SAA, Petersen J, Maier-Hein KH. nnU-Net: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self-configuring method for deep learning-based biomedical image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segmentation.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Nature Methods</w:t>
      </w:r>
      <w:r>
        <w:rPr>
          <w:rFonts w:ascii="Arial" w:hAnsi="Arial"/>
        </w:rPr>
        <w:t xml:space="preserve">. 2021;18:203–211.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doi:10.1038/s41592-020-01008-z.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Isensee F, Wald T, Ulrich C, et al. nnU-Net Revisited: A Call for Rigorous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Validation in 3D Medical Image Segmentation. In: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Medical Image Computing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and Computer Assisted Intervention—MICCAI 2024</w:t>
      </w:r>
      <w:r>
        <w:rPr>
          <w:rFonts w:ascii="Arial" w:hAnsi="Arial"/>
        </w:rPr>
        <w:t xml:space="preserve">. 2024:488–498.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doi:10.1007/978-3-031-72114-4_47.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Wang W, Chen C, Ding M, Li J, Yu H, Zha S. TransBTS: Multimodal Brain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Tumor Segmentation Using Transformer. In: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Medical Image Computing and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Computer Assisted Intervention—MICCAI 2021</w:t>
      </w:r>
      <w:r>
        <w:rPr>
          <w:rFonts w:ascii="Arial" w:hAnsi="Arial"/>
        </w:rPr>
        <w:t xml:space="preserve">. LNCS 12901. 2021:109–119.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doi:10.1007/978-3-030-87193-2_11.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Zhou H-Y, Guo J, Zhang Y, Han X, Yu L, Wang L, Yu Y. nnFormer: Volumetric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Medical Image Segmentation via a 3D Transformer.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IEEE Transactions on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Image Processing</w:t>
      </w:r>
      <w:r>
        <w:rPr>
          <w:rFonts w:ascii="Arial" w:hAnsi="Arial"/>
        </w:rPr>
        <w:t xml:space="preserve">. 2023;32:4036–4045.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doi:10.1109/TIP.2023.3293771.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Hatamizadeh A, Nath V, Tang Y, Yang D, Roth HR, Xu D. Swin UNETR: Swin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Transformers for Semantic Segmentation of Brain Tumors in MRI Images. In: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BrainLes 2021</w:t>
      </w:r>
      <w:r>
        <w:rPr>
          <w:rFonts w:ascii="Arial" w:hAnsi="Arial"/>
        </w:rPr>
        <w:t xml:space="preserve">. 2022:272–284.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doi:10.1007/978-3-031-08999-2_22.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Maier-Hein L, et al. Metrics Reloaded: recommendations for image analysis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validation.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Nature Methods</w:t>
      </w:r>
      <w:r>
        <w:rPr>
          <w:rFonts w:ascii="Arial" w:hAnsi="Arial"/>
        </w:rPr>
        <w:t xml:space="preserve">. 2024;21:195–212.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doi:10.1038/s41592-023-02151-z.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Tejani AS, Klontzas ME, Gatti AA, et al. Checklist for Artificial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Intelligence in Medical Imaging: 2024 Update.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Radiology: Artificial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Intelligence</w:t>
      </w:r>
      <w:r>
        <w:rPr>
          <w:rFonts w:ascii="Arial" w:hAnsi="Arial"/>
        </w:rPr>
        <w:t xml:space="preserve">. 2024;6(4):e240300.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doi:10.1148/ryai.240300.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Adewole M, Rudie JD, Gbadamosi A, et al. The BraTS-Africa Dataset: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Expanding the Brain Tumor Segmentation Data to Capture African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Populations.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Radiology: Artificial Intelligence</w:t>
      </w:r>
      <w:r>
        <w:rPr>
          <w:rFonts w:ascii="Arial" w:hAnsi="Arial"/>
        </w:rPr>
        <w:t xml:space="preserve">. 2025;7(4):e240528.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doi:10.1148/ryai.240528.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Avesta A, Hossain S, Lin M, Aboian M, Krumholz HM, Aneja S. Comparing 3D,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2.5D, and 2D Approaches to Brain Image Auto-Segmentation.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Bioengineering</w:t>
      </w:r>
      <w:r>
        <w:rPr>
          <w:rFonts w:ascii="Arial" w:hAnsi="Arial"/>
        </w:rPr>
        <w:t xml:space="preserve">. 2023;10(2):181.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doi:10.3390/bioengineering10020181.</w:t>
      </w:r>
    </w:p>
    <w:p>
      <w:pPr>
        <w:pStyle w:val="Compact"/>
        <w:widowControl/>
        <w:numPr>
          <w:ilvl w:val="0"/>
          <w:numId w:val="1002"/>
        </w:numPr>
        <w:jc w:val="left"/>
      </w:pPr>
      <w:r>
        <w:rPr>
          <w:rFonts w:ascii="Arial" w:hAnsi="Arial"/>
        </w:rPr>
        <w:t xml:space="preserve">Abraham N, Khan NM. A Novel Focal Tversky Loss Function With Improved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Attention U-Net for Lesion Segmentation.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IEEE ISBI</w:t>
      </w:r>
      <w:r>
        <w:rPr>
          <w:rFonts w:ascii="Arial" w:hAnsi="Arial"/>
        </w:rPr>
        <w:t xml:space="preserve">. 2019:683–687.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doi:10.1109/ISBI.2019.8759329.</w:t>
      </w:r>
    </w:p>
    <w:bookmarkEnd w:id="39"/>
    <w:bookmarkStart w:id="40" w:name="tables"/>
    <w:p>
      <w:pPr>
        <w:pStyle w:val="Heading2"/>
        <w:widowControl/>
        <w:jc w:val="left"/>
      </w:pPr>
      <w:r>
        <w:rPr>
          <w:rFonts w:ascii="Arial" w:hAnsi="Arial"/>
        </w:rPr>
        <w:t xml:space="preserve">Tables</w:t>
      </w:r>
    </w:p>
    <w:p>
      <w:pPr>
        <w:pStyle w:val="FirstParagraph"/>
        <w:widowControl/>
        <w:jc w:val="left"/>
      </w:pPr>
      <w:r>
        <w:rPr>
          <w:rFonts w:ascii="Arial" w:hAnsi="Arial"/>
        </w:rPr>
        <w:t xml:space="preserve">[GENERATED DURING FINAL BUILD: no more than four tables; each table will begin on a separate page and contain no merged cells.]</w:t>
      </w:r>
    </w:p>
    <w:bookmarkEnd w:id="40"/>
    <w:bookmarkEnd w:id="41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6" w:footer="70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</w:pPr>
    <w:rPr>
      <w:rFonts w:ascii="Arial" w:hAnsi="Arial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Arial" w:hAnsi="Arial"/>
      <w:b/>
      <w:color w:val="000000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Arial" w:hAnsi="Arial"/>
      <w:b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Arial" w:hAnsi="Arial"/>
      <w:b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cstheme="majorBidi" w:eastAsiaTheme="majorEastAsia" w:ascii="Arial" w:hAnsi="Arial"/>
      <w:b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Capacity- and Compute-Matched Evaluation of Published BU-Net Components with Multi-Seed Development and Independent External Testing for Multimodal Glioma Segmentation</dc:title>
  <dc:creator>Author confirmation required</dc:creator>
  <cp:keywords/>
  <dcterms:created xsi:type="dcterms:W3CDTF">2026-07-30T13:02:46Z</dcterms:created>
  <dcterms:modified xsi:type="dcterms:W3CDTF">2026-07-30T13:02:46Z</dcterms:modified>
  <dc:subject>Radiology: Artificial Intelligence submission package</dc:subject>
  <dc:description>Pre-results preview; not for submission.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