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  <w:widowControl/>
        <w:spacing w:line="240" w:lineRule="auto"/>
        <w:jc w:val="left"/>
      </w:pPr>
      <w:r>
        <w:rPr>
          <w:rFonts w:ascii="Arial" w:hAnsi="Arial"/>
          <w:b/>
          <w:bCs/>
          <w:color w:val="9C0006"/>
          <w:sz w:val="20"/>
        </w:rPr>
        <w:t xml:space="preserve">PRE-RESULTS PREVIEW - NOT FOR SUBMISSION. Scientific result fields and author declarations remain unresolved. Do not upload this file to a journal.</w:t>
      </w:r>
    </w:p>
    <w:bookmarkStart w:id="27" w:name="supplementary-material"/>
    <w:p>
      <w:pPr>
        <w:pStyle w:val="Heading1"/>
        <w:widowControl/>
        <w:jc w:val="left"/>
      </w:pPr>
      <w:r>
        <w:rPr>
          <w:rFonts w:ascii="Arial" w:hAnsi="Arial"/>
        </w:rPr>
        <w:t xml:space="preserve">Supplementary Material</w:t>
      </w:r>
    </w:p>
    <w:bookmarkStart w:id="9" w:name="X9c2cff73ba8cf1914ee884f8f54e5d305a63bae"/>
    <w:p>
      <w:pPr>
        <w:pStyle w:val="Heading2"/>
        <w:widowControl/>
        <w:jc w:val="left"/>
      </w:pPr>
      <w:r>
        <w:rPr>
          <w:rFonts w:ascii="Arial" w:hAnsi="Arial"/>
        </w:rPr>
        <w:t xml:space="preserve">Capacity- and Compute-Matched Evaluation of Published BU-Net Components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This supplement is generated with the same Gate J claim registry as the main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manuscript and reviewer response. Tables named below are populated from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declared machine-readable artifacts after Gates G and H. A missing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hash-mismatched source blocks the final package.</w:t>
      </w:r>
    </w:p>
    <w:bookmarkEnd w:id="9"/>
    <w:bookmarkStart w:id="17" w:name="supplementary-methods"/>
    <w:p>
      <w:pPr>
        <w:pStyle w:val="Heading2"/>
        <w:widowControl/>
        <w:jc w:val="left"/>
      </w:pPr>
      <w:r>
        <w:rPr>
          <w:rFonts w:ascii="Arial" w:hAnsi="Arial"/>
        </w:rPr>
        <w:t xml:space="preserve">Supplementary Methods</w:t>
      </w:r>
    </w:p>
    <w:bookmarkStart w:id="10" w:name="s1.-data-inventory-and-identity-audit"/>
    <w:p>
      <w:pPr>
        <w:pStyle w:val="Heading3"/>
        <w:widowControl/>
        <w:jc w:val="left"/>
      </w:pPr>
      <w:r>
        <w:rPr>
          <w:rFonts w:ascii="Arial" w:hAnsi="Arial"/>
        </w:rPr>
        <w:t xml:space="preserve">S1. Data inventory and identity audit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data inventory records modality and label paths, byte size, SHA-256,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geometry, orientation, spacing, affine, data type, finite-value status, label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set, and WT, TC, and ET burden for every development patient. BraTS 2019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used only for identity auditing. Cross-edition and external comparisons use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identifier, raw-file hash, exact normalized content, sampled content,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normalized-volume signatures.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Development and external cohort construction,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inclusion, exclusion, modality completeness, label semantics, and missing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metadata.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S1.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 identity, edition overlap, and external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cohort flow.</w:t>
      </w:r>
    </w:p>
    <w:bookmarkEnd w:id="10"/>
    <w:bookmarkStart w:id="11" w:name="s2.-patient-level-folds"/>
    <w:p>
      <w:pPr>
        <w:pStyle w:val="Heading3"/>
        <w:widowControl/>
        <w:jc w:val="left"/>
      </w:pPr>
      <w:r>
        <w:rPr>
          <w:rFonts w:ascii="Arial" w:hAnsi="Arial"/>
        </w:rPr>
        <w:t xml:space="preserve">S2. Patient-level folds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Development folds are deterministic and patient-level. Stratification uses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grade when available, ET presence, and tumor burden. Preprocessing quantities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that require estimation are learned from the training portion of each fold.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legacy internal subset is unavailable to v2 loaders and evaluators.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S2.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Fold-level patient counts and stratification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characteristics.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S2.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Fold balance for grade, ET presence, and tumor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burden.</w:t>
      </w:r>
    </w:p>
    <w:bookmarkEnd w:id="11"/>
    <w:bookmarkStart w:id="12" w:name="s3.-executable-model-definitions"/>
    <w:p>
      <w:pPr>
        <w:pStyle w:val="Heading3"/>
        <w:widowControl/>
        <w:jc w:val="left"/>
      </w:pPr>
      <w:r>
        <w:rPr>
          <w:rFonts w:ascii="Arial" w:hAnsi="Arial"/>
        </w:rPr>
        <w:t xml:space="preserve">S3. Executable model definitions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component matrix distinguishes BU-Net RES pathways, WC, and conventional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residual blocks. Plain controls are selected independently for parameter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declared-input compute matching. Official nnU-Net behavior is retained where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required, the controlled 2.5D model predicts the center of a five-slice stack,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Swin UNETR uses the maintained MONAI implementation.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S3.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Layer definitions, tensor shapes, width, depth,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parameters, computation, receptive-field proxy, initialization,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implementation source for every model.</w:t>
      </w:r>
    </w:p>
    <w:bookmarkEnd w:id="12"/>
    <w:bookmarkStart w:id="13" w:name="s4.-loss-equations-and-output-semantics"/>
    <w:p>
      <w:pPr>
        <w:pStyle w:val="Heading3"/>
        <w:widowControl/>
        <w:jc w:val="left"/>
      </w:pPr>
      <w:r>
        <w:rPr>
          <w:rFonts w:ascii="Arial" w:hAnsi="Arial"/>
        </w:rPr>
        <w:t xml:space="preserve">S4. Loss equations and output semantics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loss catalog records logits-to-probability mappings, channel inclusion,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reduction axes, class aggregation, batch aggregation, alpha, beta, gamma,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smoothing, class weights, and empty-class behavior. Four-class inference uses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argmax. Any nested-region correction is a separately configured evaluation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stage.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The development-selected objective is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[PENDING:METHOD.SELECTED_LOSS]</w:t>
      </w:r>
      <w:r>
        <w:rPr>
          <w:rFonts w:ascii="Arial" w:hAnsi="Arial"/>
        </w:rPr>
        <w:t xml:space="preserve">. Loss selection does not use the legacy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internal subset or external cohort.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S4.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Complete executable equations and frozen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hyperparameters for every loss candidate.</w:t>
      </w:r>
    </w:p>
    <w:bookmarkEnd w:id="13"/>
    <w:bookmarkStart w:id="14" w:name="s5.-optimization-and-convergence"/>
    <w:p>
      <w:pPr>
        <w:pStyle w:val="Heading3"/>
        <w:widowControl/>
        <w:jc w:val="left"/>
      </w:pPr>
      <w:r>
        <w:rPr>
          <w:rFonts w:ascii="Arial" w:hAnsi="Arial"/>
        </w:rPr>
        <w:t xml:space="preserve">S5. Optimization and convergence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Native models use AdamW with initial learning 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[PENDING:METHOD.INITIAL_LEARNING_RATE_NATIVE_2D], weight decay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[PENDING:METHOD.WEIGHT_DECAY], and effective batch size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[PENDING:METHOD.EFFECTIVE_BATCH_SIZE_NATIVE_2D]. Validation occurs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[PENDING:METHOD.VALIDATION_FREQUENCY_OPTIMIZER_STEPS] optimizer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steps. Best and terminal checkpoints are both retained.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Early stopping is disabled before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[PENDING:METHOD.MINIMUM_OPTIMIZER_STEPS_BEFORE_EARLY_STOPPING] steps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then uses minimum delta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[PENDING:METHOD.EARLY_STOPPING_MINIMUM_DELTA] with patience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[PENDING:METHOD.EARLY_STOPPING_PATIENCE_CHECKS] validation checks.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Compute-matched runs use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[PENDING:METHOD.COMPUTE_MATCHED_HOURS_PER_RUN] accelerator hours per run.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S5.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Optimizer, schedule, augmentation, convergence,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checkpoint, tuning-opportunity, and compute-budget settings.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S3.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Fold-seed learning curves, best checkpoints,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terminal checkpoints, and ranking stability over the frozen budget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checkpoints.</w:t>
      </w:r>
    </w:p>
    <w:bookmarkEnd w:id="14"/>
    <w:bookmarkStart w:id="15" w:name="s6.-central-evaluator"/>
    <w:p>
      <w:pPr>
        <w:pStyle w:val="Heading3"/>
        <w:widowControl/>
        <w:jc w:val="left"/>
      </w:pPr>
      <w:r>
        <w:rPr>
          <w:rFonts w:ascii="Arial" w:hAnsi="Arial"/>
        </w:rPr>
        <w:t xml:space="preserve">S6. Central evaluator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WT, TC, and ET are derived from the four-class label map. Regional overlap,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boundary, surface, rate, and volume endpoints are accompanied by lesion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detection and lesion-wise endpoints. Complete validation and external volumes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retained, including empty slices. One-empty HD95 is positive infinity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summarized by its occurrence rate plus finite distribution summaries.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S6.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Metric definitions, aggregation levels,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empty-mask rules, connectivity, lesion matching, minimum-volume settings,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sensitivity variants.</w:t>
      </w:r>
    </w:p>
    <w:bookmarkEnd w:id="15"/>
    <w:bookmarkStart w:id="16" w:name="s7.-statistical-plan"/>
    <w:p>
      <w:pPr>
        <w:pStyle w:val="Heading3"/>
        <w:widowControl/>
        <w:jc w:val="left"/>
      </w:pPr>
      <w:r>
        <w:rPr>
          <w:rFonts w:ascii="Arial" w:hAnsi="Arial"/>
        </w:rPr>
        <w:t xml:space="preserve">S7. Statistical plan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confirmatory estimand is the paired external patient-level mean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regional Dice for U-Net+RES versus the parameter-matched plain U-Net.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Uncertainty includes paired patient bootstrap and hierarchical seed-patient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resampling. The paired sign-flip family uses Holm correction. The practical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threshold is an interpretation rule, not a clinical minimal important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difference or equivalence margin.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Bootstrap confidence level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[PENDING:METHOD.CONFIDENCE_LEVEL]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[PENDING:METHOD.PAIRED_BOOTSTRAP_RESAMPLES] paired resamples.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sign-flip analysis uses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[PENDING:METHOD.PAIRED_PERMUTATION_RESAMPLES] resamples and family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alpha [PENDING:METHOD.MULTIPLICITY_ALPHA].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S7.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Prespecified endpoints, contrasts, multiplicity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family, missingness handling, uncertainty methods, and interpretation rules.</w:t>
      </w:r>
    </w:p>
    <w:bookmarkEnd w:id="16"/>
    <w:bookmarkEnd w:id="17"/>
    <w:bookmarkStart w:id="26" w:name="supplementary-results"/>
    <w:p>
      <w:pPr>
        <w:pStyle w:val="Heading2"/>
        <w:widowControl/>
        <w:jc w:val="left"/>
      </w:pPr>
      <w:r>
        <w:rPr>
          <w:rFonts w:ascii="Arial" w:hAnsi="Arial"/>
        </w:rPr>
        <w:t xml:space="preserve">Supplementary Results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complete development design contains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[PENDING:DESIGN.DEVELOPMENT_PATIENTS] patients,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[PENDING:DESIGN.FOLDS] folds,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[PENDING:DESIGN.SEEDS] common seeds,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[PENDING:DESIGN.MODELS] models,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[PENDING:DESIGN.DEVELOPMENT_RUNS] development runs. The external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confirmatory and supportive cohorts contain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[PENDING:DESIGN.EXTERNAL_CONFIRMATORY_PATIENTS]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[PENDING:DESIGN.EXTERNAL_SUPPORTIVE_PATIENTS] patients, respectively.</w:t>
      </w:r>
      <w:r>
        <w:rPr>
          <w:rFonts w:ascii="Arial" w:hAnsi="Arial"/>
        </w:rPr>
        <w:t xml:space="preserve"> </w:t>
      </w:r>
    </w:p>
    <w:bookmarkStart w:id="18" w:name="X7b50bbdb9660c94660959e326b5128ba0b2330a"/>
    <w:p>
      <w:pPr>
        <w:pStyle w:val="Heading3"/>
        <w:widowControl/>
        <w:jc w:val="left"/>
      </w:pPr>
      <w:r>
        <w:rPr>
          <w:rFonts w:ascii="Arial" w:hAnsi="Arial"/>
        </w:rPr>
        <w:t xml:space="preserve">S8. Development cross-validation and loss interaction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Supplementary Table S8.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Fold-seed development estimates, convergence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status, best/terminal checkpoints, budget sensitivity, and failed-run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disposition for all models.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S9.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Development-only loss screen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architecture-by-loss interaction sensitivity.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S4.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Short-, medium-, and converged-budget ranking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stability.</w:t>
      </w:r>
    </w:p>
    <w:bookmarkEnd w:id="18"/>
    <w:bookmarkStart w:id="19" w:name="s9.-external-model-estimates"/>
    <w:p>
      <w:pPr>
        <w:pStyle w:val="Heading3"/>
        <w:widowControl/>
        <w:jc w:val="left"/>
      </w:pPr>
      <w:r>
        <w:rPr>
          <w:rFonts w:ascii="Arial" w:hAnsi="Arial"/>
        </w:rPr>
        <w:t xml:space="preserve">S9. External model estimates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Supplementary Table S10.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confirmatory patient-level WT, TC, ET,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mean regional Dice for every model with uncertainty.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S11.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regional HD95, surface Dice,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sensitivity, precision, specificity, and relative volume error.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S12.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lesion recall, lesion precision,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lesion-wise Dice, lesion-wise HD95, false-positive lesion count,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nonfinite-distance rates.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S5.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Regional and lesion-level endpoint distributions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complete patient denominators.</w:t>
      </w:r>
    </w:p>
    <w:bookmarkEnd w:id="19"/>
    <w:bookmarkStart w:id="20" w:name="X41cd8f9a09464d4d089fc1a921c6ea365af46ee"/>
    <w:p>
      <w:pPr>
        <w:pStyle w:val="Heading3"/>
        <w:widowControl/>
        <w:jc w:val="left"/>
      </w:pPr>
      <w:r>
        <w:rPr>
          <w:rFonts w:ascii="Arial" w:hAnsi="Arial"/>
        </w:rPr>
        <w:t xml:space="preserve">S10. Confirmatory contrasts and hierarchical uncertainty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primary contrast includes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[PENDING:CONTRAST.UNET_RES_VS_UNET_PARAMETER_MATCHED_RES.PAIRED_PATIENT_COUNT]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paired patients. The paired mean difference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[PENDING:CONTRAST.UNET_RES_VS_UNET_PARAMETER_MATCHED_RES.MEAN_DIFFERENCE],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interval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[PENDING:CONTRAST.UNET_RES_VS_UNET_PARAMETER_MATCHED_RES.PAIRED_BOOTSTRAP_LOWER_95]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[PENDING:CONTRAST.UNET_RES_VS_UNET_PARAMETER_MATCHED_RES.PAIRED_BOOTSTRAP_UPPER_95]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Holm-adjusted p value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[PENDING:CONTRAST.UNET_RES_VS_UNET_PARAMETER_MATCHED_RES.HOLM_ADJUSTED_P].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[PENDING:CONTRAST.UNET_RES_VS_UNET_PARAMETER_MATCHED_RES.INTERPRETATION_TEXT]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S13.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prespecified contrasts with paired mean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median differences, intervals, standardized effects, raw and adjusted 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values, probability of superiority, practical-threshold status, and exact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interpretation.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S14.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Hierarchical bootstrap and mixed-effects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sensitivity results.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S6.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 and seed components of uncertainty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primary and secondary contrasts.</w:t>
      </w:r>
    </w:p>
    <w:bookmarkEnd w:id="20"/>
    <w:bookmarkStart w:id="21" w:name="s11.-evaluation-sensitivities"/>
    <w:p>
      <w:pPr>
        <w:pStyle w:val="Heading3"/>
        <w:widowControl/>
        <w:jc w:val="left"/>
      </w:pPr>
      <w:r>
        <w:rPr>
          <w:rFonts w:ascii="Arial" w:hAnsi="Arial"/>
        </w:rPr>
        <w:t xml:space="preserve">S11. Evaluation sensitivities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Supplementary Table S15.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Minimum-lesion-volume, connectivity, and HD95 cap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sensitivity analyses.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S7.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Finite and infinite HD95 behavior by model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region.</w:t>
      </w:r>
    </w:p>
    <w:bookmarkEnd w:id="21"/>
    <w:bookmarkStart w:id="22" w:name="s12.-external-subgroups-and-domain-shift"/>
    <w:p>
      <w:pPr>
        <w:pStyle w:val="Heading3"/>
        <w:widowControl/>
        <w:jc w:val="left"/>
      </w:pPr>
      <w:r>
        <w:rPr>
          <w:rFonts w:ascii="Arial" w:hAnsi="Arial"/>
        </w:rPr>
        <w:t xml:space="preserve">S12. External subgroups and domain shift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Subgroup analyses are exploratory. Institution, scanner, field strength,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grade when available, ET presence, development-derived tumor burden,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resolution cells report explicit denominators. Small cells remain descriptive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do not receive confirmatory language.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S16.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 estimates by external subgroup.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S17.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Primary contrast estimates by external subgroup.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S8.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subgroup forest plots with small-cell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labels.</w:t>
      </w:r>
    </w:p>
    <w:bookmarkEnd w:id="22"/>
    <w:bookmarkStart w:id="23" w:name="s13.-resource-realization"/>
    <w:p>
      <w:pPr>
        <w:pStyle w:val="Heading3"/>
        <w:widowControl/>
        <w:jc w:val="left"/>
      </w:pPr>
      <w:r>
        <w:rPr>
          <w:rFonts w:ascii="Arial" w:hAnsi="Arial"/>
        </w:rPr>
        <w:t xml:space="preserve">S13. Resource realization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U-Net+RES has [PENDING:RESOURCE.UNET_RES.PARAMETER_COUNT] parameters,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[PENDING:RESOURCE.UNET_RES.FLOPS_PER_DECLARED_INPUT] FLOPs per declared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input, mean training time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[PENDING:RESOURCE.UNET_RES.TRAINING_ACCELERATOR_HOURS_MEAN] accelerator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hours per fold-seed run, and median external end-to-end latency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[PENDING:RESOURCE.UNET_RES.INFERENCE_END_TO_END_P50_SECONDS] seconds per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volume. The parameter-matched control has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[PENDING:RESOURCE.UNET_PARAMETER_MATCHED_RES.PARAMETER_COUNT]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parameters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[PENDING:RESOURCE.UNET_PARAMETER_MATCHED_RES.FLOPS_PER_DECLARED_INPUT]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FLOPs per declared input.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S18.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Static graph, training, checkpoint, memory,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inference-stage, latency, and throughput measurements for every model.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S19.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Parameter- and compute-matching accuracy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realized compute-budget adherence.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 S9.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Separate accuracy-cost and all-measured-cost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non-dominance views.</w:t>
      </w:r>
    </w:p>
    <w:bookmarkEnd w:id="23"/>
    <w:bookmarkStart w:id="24" w:name="s14.-qualitative-selection-and-panels"/>
    <w:p>
      <w:pPr>
        <w:pStyle w:val="Heading3"/>
        <w:widowControl/>
        <w:jc w:val="left"/>
      </w:pPr>
      <w:r>
        <w:rPr>
          <w:rFonts w:ascii="Arial" w:hAnsi="Arial"/>
        </w:rPr>
        <w:t xml:space="preserve">S14. Qualitative selection and panels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Cases are selected after evaluation using prespecified deterministic rules.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rules cover highest performance, cohort median, lowest finite 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lesion-wise Dice, greatest false-positive lesion burden, greatest regional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HD95, and greatest model disagreement.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S20.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Rule, anonymized patient identifier, slice,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tie-break inputs, selected metric, and source hash for each qualitative case.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Figures S10–S15.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Multimodal images, reference labels,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reference lesion components, all model predictions, and false-positive/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false-negative overlays for each selected role.</w:t>
      </w:r>
    </w:p>
    <w:bookmarkEnd w:id="24"/>
    <w:bookmarkStart w:id="25" w:name="s15.-reproducibility-and-deviations"/>
    <w:p>
      <w:pPr>
        <w:pStyle w:val="Heading3"/>
        <w:widowControl/>
        <w:jc w:val="left"/>
      </w:pPr>
      <w:r>
        <w:rPr>
          <w:rFonts w:ascii="Arial" w:hAnsi="Arial"/>
        </w:rPr>
        <w:t xml:space="preserve">S15. Reproducibility and deviations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Supplementary Table S21.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Software, hardware, environment, data, split,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configuration, checkpoint, prediction, analysis, figure, and claim-provenance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identifiers.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S22.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failed runs, deviations, missing values,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their prespecified disposition.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Supplementary Table S23.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CLAIM checklist with final manuscript page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line references.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No supplementary item changes the frozen primary endpoint, contrast,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multiplicity family, or external-session rules.</w:t>
      </w:r>
    </w:p>
    <w:bookmarkEnd w:id="25"/>
    <w:bookmarkEnd w:id="26"/>
    <w:bookmarkEnd w:id="27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6" w:footer="7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cstheme="majorBidi" w:eastAsiaTheme="majorEastAsia" w:ascii="Arial" w:hAnsi="Arial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 and Compute-Matched Evaluation of Published BU-Net Components with Multi-Seed Development and Independent External Testing for Multimodal Glioma Segmentation</dc:title>
  <dc:creator>Author confirmation required</dc:creator>
  <cp:keywords/>
  <dcterms:created xsi:type="dcterms:W3CDTF">2026-07-30T13:02:57Z</dcterms:created>
  <dcterms:modified xsi:type="dcterms:W3CDTF">2026-07-30T13:02:57Z</dcterms:modified>
  <dc:subject>Radiology: Artificial Intelligence submission package</dc:subject>
  <dc:description>Pre-results preview; not for submission.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