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color w:val="121216"/>
          <w:sz w:val="36"/>
        </w:rPr>
        <w:t>Баротова Сабина Андреевна</w:t>
      </w:r>
    </w:p>
    <w:p>
      <w:pPr>
        <w:spacing w:after="40"/>
      </w:pPr>
      <w:r>
        <w:rPr>
          <w:b/>
          <w:i w:val="0"/>
          <w:color w:val="F59E0B"/>
          <w:sz w:val="22"/>
        </w:rPr>
        <w:t>Junior Business Analyst</w:t>
      </w:r>
    </w:p>
    <w:p>
      <w:pPr>
        <w:spacing w:after="40"/>
      </w:pPr>
      <w:r>
        <w:rPr>
          <w:b w:val="0"/>
          <w:i w:val="0"/>
          <w:color w:val="121216"/>
          <w:sz w:val="18"/>
        </w:rPr>
        <w:t>Москва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b w:val="0"/>
          <w:i w:val="0"/>
          <w:color w:val="121216"/>
          <w:sz w:val="18"/>
        </w:rPr>
        <w:t>+7 (926) 058-27-87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b w:val="0"/>
          <w:i w:val="0"/>
          <w:color w:val="121216"/>
          <w:sz w:val="18"/>
        </w:rPr>
        <w:t>sabina.1998.barotova@mail.ru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b w:val="0"/>
          <w:i w:val="0"/>
          <w:color w:val="121216"/>
          <w:sz w:val="18"/>
        </w:rPr>
        <w:t>Гибрид / удалённо</w:t>
      </w:r>
    </w:p>
    <w:p>
      <w:pPr>
        <w:spacing w:before="0" w:after="0"/>
        <w:pBdr>
          <w:bottom w:val="single" w:sz="6" w:space="1" w:color="E5E5EA"/>
        </w:pBdr>
      </w:pPr>
    </w:p>
    <w:p>
      <w:pPr>
        <w:spacing w:before="160" w:after="40"/>
      </w:pPr>
      <w:r>
        <w:rPr>
          <w:b/>
          <w:i w:val="0"/>
          <w:color w:val="F59E0B"/>
          <w:sz w:val="22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0"/>
        </w:rPr>
        <w:t>О СЕБЕ</w:t>
      </w:r>
    </w:p>
    <w:p>
      <w:pPr>
        <w:spacing w:after="0" w:line="276" w:lineRule="auto"/>
      </w:pPr>
      <w:r>
        <w:rPr>
          <w:b w:val="0"/>
          <w:i w:val="0"/>
          <w:color w:val="121216"/>
          <w:sz w:val="18"/>
        </w:rPr>
        <w:t>Студентка 3 курса бизнес-информатики МИРЭА. Разрабатываю BRD/FRD/ТЗ, моделирую процессы AS-IS/TO-BE, проектирую данные в IDEF1X/ER, провожу конкурентный анализ, JTBD- и CustDev-исследования. Работала в команде по реальным кейсам: ВкусВилл, Studyhall, Eduson Academy.</w:t>
      </w:r>
    </w:p>
    <w:p>
      <w:pPr>
        <w:spacing w:before="160" w:after="40"/>
      </w:pPr>
      <w:r>
        <w:rPr>
          <w:b/>
          <w:i w:val="0"/>
          <w:color w:val="F59E0B"/>
          <w:sz w:val="22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0"/>
        </w:rPr>
        <w:t>ОБРАЗОВАНИЕ</w:t>
      </w:r>
    </w:p>
    <w:p>
      <w:pPr>
        <w:spacing w:after="0" w:line="276" w:lineRule="auto"/>
      </w:pPr>
      <w:r>
        <w:rPr>
          <w:b/>
          <w:i w:val="0"/>
          <w:color w:val="121216"/>
          <w:sz w:val="19"/>
        </w:rPr>
        <w:t>МИРЭА — Российский технологический университет</w:t>
      </w:r>
      <w:r>
        <w:rPr>
          <w:b w:val="0"/>
          <w:i w:val="0"/>
          <w:color w:val="9999A3"/>
          <w:sz w:val="18"/>
        </w:rPr>
        <w:t xml:space="preserve">  ·  </w:t>
      </w:r>
      <w:r>
        <w:rPr>
          <w:b w:val="0"/>
          <w:i w:val="0"/>
          <w:color w:val="555560"/>
          <w:sz w:val="18"/>
        </w:rPr>
        <w:t>Институт информационных технологий, бизнес-информатика, 3 курс, группа УИБО-07-23 · 2023 — 2027</w:t>
      </w:r>
    </w:p>
    <w:p>
      <w:pPr>
        <w:spacing w:before="160" w:after="40"/>
      </w:pPr>
      <w:r>
        <w:rPr>
          <w:b/>
          <w:i w:val="0"/>
          <w:color w:val="F59E0B"/>
          <w:sz w:val="22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0"/>
        </w:rPr>
        <w:t>КЕЙСЫ</w:t>
      </w:r>
    </w:p>
    <w:p>
      <w:pPr>
        <w:spacing w:before="0" w:after="0" w:line="264" w:lineRule="auto"/>
      </w:pPr>
      <w:r>
        <w:rPr>
          <w:b/>
          <w:i w:val="0"/>
          <w:color w:val="F59E0B"/>
          <w:sz w:val="18"/>
        </w:rPr>
        <w:t xml:space="preserve">1. </w:t>
      </w:r>
      <w:r>
        <w:rPr>
          <w:b/>
          <w:i w:val="0"/>
          <w:color w:val="121216"/>
          <w:sz w:val="19"/>
        </w:rPr>
        <w:t>Стратегический анализ ВкусВилл</w:t>
      </w:r>
      <w:r>
        <w:rPr>
          <w:b w:val="0"/>
          <w:i w:val="0"/>
          <w:color w:val="9999A3"/>
          <w:sz w:val="17"/>
        </w:rPr>
        <w:t xml:space="preserve">  ·  </w:t>
      </w:r>
      <w:r>
        <w:rPr>
          <w:b w:val="0"/>
          <w:i/>
          <w:color w:val="555560"/>
          <w:sz w:val="17"/>
        </w:rPr>
        <w:t>Командный кейс (4 человека) · 2025</w:t>
      </w:r>
    </w:p>
    <w:p>
      <w:pPr>
        <w:spacing w:after="0" w:line="264" w:lineRule="auto"/>
        <w:ind w:left="255"/>
      </w:pPr>
      <w:r>
        <w:rPr>
          <w:b/>
          <w:i w:val="0"/>
          <w:color w:val="F59E0B"/>
          <w:sz w:val="18"/>
        </w:rPr>
        <w:t xml:space="preserve">— </w:t>
      </w:r>
      <w:r>
        <w:rPr>
          <w:b w:val="0"/>
          <w:i w:val="0"/>
          <w:color w:val="121216"/>
          <w:sz w:val="18"/>
        </w:rPr>
        <w:t>Разобрала миссию и экосистему по фреймворку SMART, описала эффективность для 4 групп стейкхолдеров (покупатели, сотрудники, поставщики, общество)</w:t>
      </w:r>
    </w:p>
    <w:p>
      <w:pPr>
        <w:spacing w:after="40" w:line="264" w:lineRule="auto"/>
        <w:ind w:left="255"/>
      </w:pPr>
      <w:r>
        <w:rPr>
          <w:b/>
          <w:i w:val="0"/>
          <w:color w:val="555560"/>
          <w:sz w:val="17"/>
        </w:rPr>
        <w:t xml:space="preserve">Стек: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SMART · Stakeholder Map · Growth Matrix · MS PowerPoint · MS Word</w:t>
      </w:r>
    </w:p>
    <w:p>
      <w:pPr>
        <w:spacing w:before="0" w:after="0" w:line="264" w:lineRule="auto"/>
      </w:pPr>
      <w:r>
        <w:rPr>
          <w:b/>
          <w:i w:val="0"/>
          <w:color w:val="F59E0B"/>
          <w:sz w:val="18"/>
        </w:rPr>
        <w:t xml:space="preserve">2. </w:t>
      </w:r>
      <w:r>
        <w:rPr>
          <w:b/>
          <w:i w:val="0"/>
          <w:color w:val="121216"/>
          <w:sz w:val="19"/>
        </w:rPr>
        <w:t>Studyhall — продуктовая стратегия (UBK EdTech)</w:t>
      </w:r>
      <w:r>
        <w:rPr>
          <w:b w:val="0"/>
          <w:i w:val="0"/>
          <w:color w:val="9999A3"/>
          <w:sz w:val="17"/>
        </w:rPr>
        <w:t xml:space="preserve">  ·  </w:t>
      </w:r>
      <w:r>
        <w:rPr>
          <w:b w:val="0"/>
          <w:i/>
          <w:color w:val="555560"/>
          <w:sz w:val="17"/>
        </w:rPr>
        <w:t>Учебный продуктовый кейс · 2025</w:t>
      </w:r>
    </w:p>
    <w:p>
      <w:pPr>
        <w:spacing w:after="0" w:line="264" w:lineRule="auto"/>
        <w:ind w:left="255"/>
      </w:pPr>
      <w:r>
        <w:rPr>
          <w:b/>
          <w:i w:val="0"/>
          <w:color w:val="F59E0B"/>
          <w:sz w:val="18"/>
        </w:rPr>
        <w:t xml:space="preserve">— </w:t>
      </w:r>
      <w:r>
        <w:rPr>
          <w:b w:val="0"/>
          <w:i w:val="0"/>
          <w:color w:val="121216"/>
          <w:sz w:val="18"/>
        </w:rPr>
        <w:t>Конкурентный анализ 5 EdTech-платформ; value proposition «immersive 2D + AI tutor»; 4 сегмента + JTBD</w:t>
      </w:r>
    </w:p>
    <w:p>
      <w:pPr>
        <w:spacing w:after="40" w:line="264" w:lineRule="auto"/>
        <w:ind w:left="255"/>
      </w:pPr>
      <w:r>
        <w:rPr>
          <w:b/>
          <w:i w:val="0"/>
          <w:color w:val="555560"/>
          <w:sz w:val="17"/>
        </w:rPr>
        <w:t xml:space="preserve">Стек: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JTBD · Конкурентный анализ · Pricing strategy · ARPU/LTV · Figma · MS Excel</w:t>
      </w:r>
    </w:p>
    <w:p>
      <w:pPr>
        <w:spacing w:before="0" w:after="0" w:line="264" w:lineRule="auto"/>
      </w:pPr>
      <w:r>
        <w:rPr>
          <w:b/>
          <w:i w:val="0"/>
          <w:color w:val="F59E0B"/>
          <w:sz w:val="18"/>
        </w:rPr>
        <w:t xml:space="preserve">3. </w:t>
      </w:r>
      <w:r>
        <w:rPr>
          <w:b/>
          <w:i w:val="0"/>
          <w:color w:val="121216"/>
          <w:sz w:val="19"/>
        </w:rPr>
        <w:t>Studyhall — техническая архитектура EdTech-симулятора</w:t>
      </w:r>
      <w:r>
        <w:rPr>
          <w:b w:val="0"/>
          <w:i w:val="0"/>
          <w:color w:val="9999A3"/>
          <w:sz w:val="17"/>
        </w:rPr>
        <w:t xml:space="preserve">  ·  </w:t>
      </w:r>
      <w:r>
        <w:rPr>
          <w:b w:val="0"/>
          <w:i/>
          <w:color w:val="555560"/>
          <w:sz w:val="17"/>
        </w:rPr>
        <w:t>Системный кейс · 2025 · EdTech · AI · RAG</w:t>
      </w:r>
    </w:p>
    <w:p>
      <w:pPr>
        <w:spacing w:after="0" w:line="264" w:lineRule="auto"/>
        <w:ind w:left="255"/>
      </w:pPr>
      <w:r>
        <w:rPr>
          <w:b/>
          <w:i w:val="0"/>
          <w:color w:val="F59E0B"/>
          <w:sz w:val="18"/>
        </w:rPr>
        <w:t xml:space="preserve">— </w:t>
      </w:r>
      <w:r>
        <w:rPr>
          <w:b w:val="0"/>
          <w:i w:val="0"/>
          <w:color w:val="121216"/>
          <w:sz w:val="18"/>
        </w:rPr>
        <w:t>4-слойная архитектура: Frontend, Backend, ML/AI, DevOps; REST между Node.js и FastAPI</w:t>
      </w:r>
    </w:p>
    <w:p>
      <w:pPr>
        <w:spacing w:after="40" w:line="264" w:lineRule="auto"/>
        <w:ind w:left="255"/>
      </w:pPr>
      <w:r>
        <w:rPr>
          <w:b/>
          <w:i w:val="0"/>
          <w:color w:val="555560"/>
          <w:sz w:val="17"/>
        </w:rPr>
        <w:t xml:space="preserve">Стек: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REST-API · PostgreSQL · Node.js / Express · Python / FastAPI · RAG · LLaMA (ollama) · Docker</w:t>
      </w:r>
    </w:p>
    <w:p>
      <w:pPr>
        <w:spacing w:before="0" w:after="0" w:line="264" w:lineRule="auto"/>
      </w:pPr>
      <w:r>
        <w:rPr>
          <w:b/>
          <w:i w:val="0"/>
          <w:color w:val="F59E0B"/>
          <w:sz w:val="18"/>
        </w:rPr>
        <w:t xml:space="preserve">4. </w:t>
      </w:r>
      <w:r>
        <w:rPr>
          <w:b/>
          <w:i w:val="0"/>
          <w:color w:val="121216"/>
          <w:sz w:val="19"/>
        </w:rPr>
        <w:t>Бизнес-архитектура Eduson Academy</w:t>
      </w:r>
      <w:r>
        <w:rPr>
          <w:b w:val="0"/>
          <w:i w:val="0"/>
          <w:color w:val="9999A3"/>
          <w:sz w:val="17"/>
        </w:rPr>
        <w:t xml:space="preserve">  ·  </w:t>
      </w:r>
      <w:r>
        <w:rPr>
          <w:b w:val="0"/>
          <w:i/>
          <w:color w:val="555560"/>
          <w:sz w:val="17"/>
        </w:rPr>
        <w:t>Учебный кейс системного анализа · 2025</w:t>
      </w:r>
    </w:p>
    <w:p>
      <w:pPr>
        <w:spacing w:after="0" w:line="264" w:lineRule="auto"/>
        <w:ind w:left="255"/>
      </w:pPr>
      <w:r>
        <w:rPr>
          <w:b/>
          <w:i w:val="0"/>
          <w:color w:val="F59E0B"/>
          <w:sz w:val="18"/>
        </w:rPr>
        <w:t xml:space="preserve">— </w:t>
      </w:r>
      <w:r>
        <w:rPr>
          <w:b w:val="0"/>
          <w:i w:val="0"/>
          <w:color w:val="121216"/>
          <w:sz w:val="18"/>
        </w:rPr>
        <w:t>Построила диаграмму «Структура входов и выходов организации»: внешняя среда → входы → процесс преобразования → выходы → потребители (B2C / B2B / общество)</w:t>
      </w:r>
    </w:p>
    <w:p>
      <w:pPr>
        <w:spacing w:after="40" w:line="264" w:lineRule="auto"/>
        <w:ind w:left="255"/>
      </w:pPr>
      <w:r>
        <w:rPr>
          <w:b/>
          <w:i w:val="0"/>
          <w:color w:val="555560"/>
          <w:sz w:val="17"/>
        </w:rPr>
        <w:t xml:space="preserve">Стек: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Системный анализ · IDEF0-подход · draw.io · MS PowerPoint</w:t>
      </w:r>
    </w:p>
    <w:p>
      <w:pPr>
        <w:spacing w:before="0" w:after="0" w:line="264" w:lineRule="auto"/>
      </w:pPr>
      <w:r>
        <w:rPr>
          <w:b/>
          <w:i w:val="0"/>
          <w:color w:val="F59E0B"/>
          <w:sz w:val="18"/>
        </w:rPr>
        <w:t xml:space="preserve">5. </w:t>
      </w:r>
      <w:r>
        <w:rPr>
          <w:b/>
          <w:i w:val="0"/>
          <w:color w:val="121216"/>
          <w:sz w:val="19"/>
        </w:rPr>
        <w:t>ТЗ системы поддержки Eduson Academy</w:t>
      </w:r>
      <w:r>
        <w:rPr>
          <w:b w:val="0"/>
          <w:i w:val="0"/>
          <w:color w:val="9999A3"/>
          <w:sz w:val="17"/>
        </w:rPr>
        <w:t xml:space="preserve">  ·  </w:t>
      </w:r>
      <w:r>
        <w:rPr>
          <w:b w:val="0"/>
          <w:i/>
          <w:color w:val="555560"/>
          <w:sz w:val="17"/>
        </w:rPr>
        <w:t>Учебный кейс · сент. — дек. 2025 · 14 недель · 6 этапов</w:t>
      </w:r>
    </w:p>
    <w:p>
      <w:pPr>
        <w:spacing w:after="0" w:line="264" w:lineRule="auto"/>
        <w:ind w:left="255"/>
      </w:pPr>
      <w:r>
        <w:rPr>
          <w:b/>
          <w:i w:val="0"/>
          <w:color w:val="F59E0B"/>
          <w:sz w:val="18"/>
        </w:rPr>
        <w:t xml:space="preserve">— </w:t>
      </w:r>
      <w:r>
        <w:rPr>
          <w:b w:val="0"/>
          <w:i w:val="0"/>
          <w:color w:val="121216"/>
          <w:sz w:val="18"/>
        </w:rPr>
        <w:t>ТЗ по ГОСТ 34.602-89 / 19.201-78 на 9 разделов; 3 модуля (Q&amp;A, маркетплейс, CRM); SLA 90-100%</w:t>
      </w:r>
    </w:p>
    <w:p>
      <w:pPr>
        <w:spacing w:after="40" w:line="264" w:lineRule="auto"/>
        <w:ind w:left="255"/>
      </w:pPr>
      <w:r>
        <w:rPr>
          <w:b/>
          <w:i w:val="0"/>
          <w:color w:val="555560"/>
          <w:sz w:val="17"/>
        </w:rPr>
        <w:t xml:space="preserve">Стек: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ГОСТ 34.602-89 · ГОСТ 19.201-78 · RUP · MS Word</w:t>
      </w:r>
    </w:p>
    <w:p>
      <w:pPr>
        <w:spacing w:before="0" w:after="0" w:line="264" w:lineRule="auto"/>
      </w:pPr>
      <w:r>
        <w:rPr>
          <w:b/>
          <w:i w:val="0"/>
          <w:color w:val="F59E0B"/>
          <w:sz w:val="18"/>
        </w:rPr>
        <w:t xml:space="preserve">6. </w:t>
      </w:r>
      <w:r>
        <w:rPr>
          <w:b/>
          <w:i w:val="0"/>
          <w:color w:val="121216"/>
          <w:sz w:val="19"/>
        </w:rPr>
        <w:t>IT-аудит сайта Eduson Academy</w:t>
      </w:r>
      <w:r>
        <w:rPr>
          <w:b w:val="0"/>
          <w:i w:val="0"/>
          <w:color w:val="9999A3"/>
          <w:sz w:val="17"/>
        </w:rPr>
        <w:t xml:space="preserve">  ·  </w:t>
      </w:r>
      <w:r>
        <w:rPr>
          <w:b w:val="0"/>
          <w:i/>
          <w:color w:val="555560"/>
          <w:sz w:val="17"/>
        </w:rPr>
        <w:t>Аудит продукта · 2025 · UX · Performance · SEO</w:t>
      </w:r>
    </w:p>
    <w:p>
      <w:pPr>
        <w:spacing w:after="0" w:line="264" w:lineRule="auto"/>
        <w:ind w:left="255"/>
      </w:pPr>
      <w:r>
        <w:rPr>
          <w:b/>
          <w:i w:val="0"/>
          <w:color w:val="F59E0B"/>
          <w:sz w:val="18"/>
        </w:rPr>
        <w:t xml:space="preserve">— </w:t>
      </w:r>
      <w:r>
        <w:rPr>
          <w:b w:val="0"/>
          <w:i w:val="0"/>
          <w:color w:val="121216"/>
          <w:sz w:val="18"/>
        </w:rPr>
        <w:t>Аудит по 7 метрикам (Lighthouse, PageSpeed, W3C); итог 62/100 (дизайн 85, безопасность 90, mobile 35)</w:t>
      </w:r>
    </w:p>
    <w:p>
      <w:pPr>
        <w:spacing w:after="40" w:line="264" w:lineRule="auto"/>
        <w:ind w:left="255"/>
      </w:pPr>
      <w:r>
        <w:rPr>
          <w:b/>
          <w:i w:val="0"/>
          <w:color w:val="555560"/>
          <w:sz w:val="17"/>
        </w:rPr>
        <w:t xml:space="preserve">Стек: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UX-аудит · Google Lighthouse · PageSpeed Insights · W3C Validator</w:t>
      </w:r>
    </w:p>
    <w:p>
      <w:pPr>
        <w:spacing w:before="0" w:after="0" w:line="264" w:lineRule="auto"/>
      </w:pPr>
      <w:r>
        <w:rPr>
          <w:b/>
          <w:i w:val="0"/>
          <w:color w:val="F59E0B"/>
          <w:sz w:val="18"/>
        </w:rPr>
        <w:t xml:space="preserve">7. </w:t>
      </w:r>
      <w:r>
        <w:rPr>
          <w:b/>
          <w:i w:val="0"/>
          <w:color w:val="121216"/>
          <w:sz w:val="19"/>
        </w:rPr>
        <w:t>Модель данных IDEF1X — система управления практикой</w:t>
      </w:r>
      <w:r>
        <w:rPr>
          <w:b w:val="0"/>
          <w:i w:val="0"/>
          <w:color w:val="9999A3"/>
          <w:sz w:val="17"/>
        </w:rPr>
        <w:t xml:space="preserve">  ·  </w:t>
      </w:r>
      <w:r>
        <w:rPr>
          <w:b w:val="0"/>
          <w:i/>
          <w:color w:val="555560"/>
          <w:sz w:val="17"/>
        </w:rPr>
        <w:t>Учебный кейс системного анализа · 2025</w:t>
      </w:r>
    </w:p>
    <w:p>
      <w:pPr>
        <w:spacing w:after="0" w:line="264" w:lineRule="auto"/>
        <w:ind w:left="255"/>
      </w:pPr>
      <w:r>
        <w:rPr>
          <w:b/>
          <w:i w:val="0"/>
          <w:color w:val="F59E0B"/>
          <w:sz w:val="18"/>
        </w:rPr>
        <w:t xml:space="preserve">— </w:t>
      </w:r>
      <w:r>
        <w:rPr>
          <w:b w:val="0"/>
          <w:i w:val="0"/>
          <w:color w:val="121216"/>
          <w:sz w:val="18"/>
        </w:rPr>
        <w:t>Спроектировала логическую модель в IDEF1X на 6 сущностей: ПОЛЬЗОВАТЕЛЬ, СТУДЕНТ, ОРГАНИЗАЦИЯ, ПРАКТИКА, ЗАЯВКА, ДОГОВОР</w:t>
      </w:r>
    </w:p>
    <w:p>
      <w:pPr>
        <w:spacing w:after="40" w:line="264" w:lineRule="auto"/>
        <w:ind w:left="255"/>
      </w:pPr>
      <w:r>
        <w:rPr>
          <w:b/>
          <w:i w:val="0"/>
          <w:color w:val="555560"/>
          <w:sz w:val="17"/>
        </w:rPr>
        <w:t xml:space="preserve">Стек: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IDEF1X · ER-моделирование · draw.io / diagrams.net · Реляционная нормализация (3НФ)</w:t>
      </w:r>
    </w:p>
    <w:p>
      <w:pPr>
        <w:spacing w:before="0" w:after="0" w:line="264" w:lineRule="auto"/>
      </w:pPr>
      <w:r>
        <w:rPr>
          <w:b/>
          <w:i w:val="0"/>
          <w:color w:val="F59E0B"/>
          <w:sz w:val="18"/>
        </w:rPr>
        <w:t xml:space="preserve">8. </w:t>
      </w:r>
      <w:r>
        <w:rPr>
          <w:b/>
          <w:i w:val="0"/>
          <w:color w:val="121216"/>
          <w:sz w:val="19"/>
        </w:rPr>
        <w:t>Моделирование процессов AS-IS / TO-BE</w:t>
      </w:r>
      <w:r>
        <w:rPr>
          <w:b w:val="0"/>
          <w:i w:val="0"/>
          <w:color w:val="9999A3"/>
          <w:sz w:val="17"/>
        </w:rPr>
        <w:t xml:space="preserve">  ·  </w:t>
      </w:r>
      <w:r>
        <w:rPr>
          <w:b w:val="0"/>
          <w:i/>
          <w:color w:val="555560"/>
          <w:sz w:val="17"/>
        </w:rPr>
        <w:t>Оптимизация процесса · 2025</w:t>
      </w:r>
    </w:p>
    <w:p>
      <w:pPr>
        <w:spacing w:after="0" w:line="264" w:lineRule="auto"/>
        <w:ind w:left="255"/>
      </w:pPr>
      <w:r>
        <w:rPr>
          <w:b/>
          <w:i w:val="0"/>
          <w:color w:val="F59E0B"/>
          <w:sz w:val="18"/>
        </w:rPr>
        <w:t xml:space="preserve">— </w:t>
      </w:r>
      <w:r>
        <w:rPr>
          <w:b w:val="0"/>
          <w:i w:val="0"/>
          <w:color w:val="121216"/>
          <w:sz w:val="18"/>
        </w:rPr>
        <w:t>AS-IS (7 шагов / 14 дней) → TO-BE (4 шага / 3 дня); −78% времени, 0 ручных операций</w:t>
      </w:r>
    </w:p>
    <w:p>
      <w:pPr>
        <w:spacing w:after="40" w:line="264" w:lineRule="auto"/>
        <w:ind w:left="255"/>
      </w:pPr>
      <w:r>
        <w:rPr>
          <w:b/>
          <w:i w:val="0"/>
          <w:color w:val="555560"/>
          <w:sz w:val="17"/>
        </w:rPr>
        <w:t xml:space="preserve">Стек: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BPMN-подход · AS-IS / TO-BE · draw.io</w:t>
      </w:r>
    </w:p>
    <w:p>
      <w:pPr>
        <w:spacing w:before="0" w:after="0" w:line="264" w:lineRule="auto"/>
      </w:pPr>
      <w:r>
        <w:rPr>
          <w:b/>
          <w:i w:val="0"/>
          <w:color w:val="F59E0B"/>
          <w:sz w:val="18"/>
        </w:rPr>
        <w:t xml:space="preserve">9. </w:t>
      </w:r>
      <w:r>
        <w:rPr>
          <w:b/>
          <w:i w:val="0"/>
          <w:color w:val="121216"/>
          <w:sz w:val="19"/>
        </w:rPr>
        <w:t>Курсовая на C++ — конвертер позиционных систем счисления</w:t>
      </w:r>
      <w:r>
        <w:rPr>
          <w:b w:val="0"/>
          <w:i w:val="0"/>
          <w:color w:val="9999A3"/>
          <w:sz w:val="17"/>
        </w:rPr>
        <w:t xml:space="preserve">  ·  </w:t>
      </w:r>
      <w:r>
        <w:rPr>
          <w:b w:val="0"/>
          <w:i/>
          <w:color w:val="555560"/>
          <w:sz w:val="17"/>
        </w:rPr>
        <w:t>Курсовая работа · МИРЭА · УИБО-07-23 · 2024</w:t>
      </w:r>
    </w:p>
    <w:p>
      <w:pPr>
        <w:spacing w:after="0" w:line="264" w:lineRule="auto"/>
        <w:ind w:left="255"/>
      </w:pPr>
      <w:r>
        <w:rPr>
          <w:b/>
          <w:i w:val="0"/>
          <w:color w:val="F59E0B"/>
          <w:sz w:val="18"/>
        </w:rPr>
        <w:t xml:space="preserve">— </w:t>
      </w:r>
      <w:r>
        <w:rPr>
          <w:b w:val="0"/>
          <w:i w:val="0"/>
          <w:color w:val="121216"/>
          <w:sz w:val="18"/>
        </w:rPr>
        <w:t>Конвертер чисел в системах 1–16, валидация, обработка переполнения через try/catch и overflow_error; 9 тестов</w:t>
      </w:r>
    </w:p>
    <w:p>
      <w:pPr>
        <w:spacing w:after="40" w:line="264" w:lineRule="auto"/>
        <w:ind w:left="255"/>
      </w:pPr>
      <w:r>
        <w:rPr>
          <w:b/>
          <w:i w:val="0"/>
          <w:color w:val="555560"/>
          <w:sz w:val="17"/>
        </w:rPr>
        <w:t xml:space="preserve">Стек: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C++ 11/14/17 · STL · iostream / stdexcept · алгоритмы</w:t>
      </w:r>
    </w:p>
    <w:p>
      <w:pPr>
        <w:spacing w:before="160" w:after="40"/>
      </w:pPr>
      <w:r>
        <w:rPr>
          <w:b/>
          <w:i w:val="0"/>
          <w:color w:val="F59E0B"/>
          <w:sz w:val="22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0"/>
        </w:rPr>
        <w:t>НАВЫКИ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40"/>
        <w:gridCol w:w="544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i w:val="0"/>
                <w:color w:val="121216"/>
                <w:sz w:val="17"/>
              </w:rPr>
              <w:t>Нотации и фреймворки</w:t>
            </w:r>
          </w:p>
        </w:tc>
        <w:tc>
          <w:tcPr>
            <w:tcW w:type="dxa" w:w="7654"/>
          </w:tcPr>
          <w:p>
            <w:pPr>
              <w:spacing w:after="0"/>
            </w:pPr>
            <w:r>
              <w:rPr>
                <w:b w:val="0"/>
                <w:i w:val="0"/>
                <w:color w:val="555560"/>
                <w:sz w:val="17"/>
              </w:rPr>
              <w:t>BPMN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AS-IS / TO-BE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IDEF0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IDEF1X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ER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CJM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JTBD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Stakeholder Map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SMART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Growth Matrix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i w:val="0"/>
                <w:color w:val="121216"/>
                <w:sz w:val="17"/>
              </w:rPr>
              <w:t>Методологии</w:t>
            </w:r>
          </w:p>
        </w:tc>
        <w:tc>
          <w:tcPr>
            <w:tcW w:type="dxa" w:w="7654"/>
          </w:tcPr>
          <w:p>
            <w:pPr>
              <w:spacing w:after="0"/>
            </w:pPr>
            <w:r>
              <w:rPr>
                <w:b w:val="0"/>
                <w:i w:val="0"/>
                <w:color w:val="555560"/>
                <w:sz w:val="17"/>
              </w:rPr>
              <w:t>Agile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Design Thinking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CustDev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A/B-тесты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Конкурентный анализ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Pricing strategy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i w:val="0"/>
                <w:color w:val="121216"/>
                <w:sz w:val="17"/>
              </w:rPr>
              <w:t>Инструменты</w:t>
            </w:r>
          </w:p>
        </w:tc>
        <w:tc>
          <w:tcPr>
            <w:tcW w:type="dxa" w:w="7654"/>
          </w:tcPr>
          <w:p>
            <w:pPr>
              <w:spacing w:after="0"/>
            </w:pPr>
            <w:r>
              <w:rPr>
                <w:b w:val="0"/>
                <w:i w:val="0"/>
                <w:color w:val="555560"/>
                <w:sz w:val="17"/>
              </w:rPr>
              <w:t>Figma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Miro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draw.io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MS Excel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MS PowerPoint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MS Word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Notion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i w:val="0"/>
                <w:color w:val="121216"/>
                <w:sz w:val="17"/>
              </w:rPr>
              <w:t>Аналитика данных</w:t>
            </w:r>
          </w:p>
        </w:tc>
        <w:tc>
          <w:tcPr>
            <w:tcW w:type="dxa" w:w="7654"/>
          </w:tcPr>
          <w:p>
            <w:pPr>
              <w:spacing w:after="0"/>
            </w:pPr>
            <w:r>
              <w:rPr>
                <w:b w:val="0"/>
                <w:i w:val="0"/>
                <w:color w:val="555560"/>
                <w:sz w:val="17"/>
              </w:rPr>
              <w:t>SQL (MS SQL)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PostgreSQL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Python (базово)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i w:val="0"/>
                <w:color w:val="121216"/>
                <w:sz w:val="17"/>
              </w:rPr>
              <w:t>Документы</w:t>
            </w:r>
          </w:p>
        </w:tc>
        <w:tc>
          <w:tcPr>
            <w:tcW w:type="dxa" w:w="7654"/>
          </w:tcPr>
          <w:p>
            <w:pPr>
              <w:spacing w:after="0"/>
            </w:pPr>
            <w:r>
              <w:rPr>
                <w:b w:val="0"/>
                <w:i w:val="0"/>
                <w:color w:val="555560"/>
                <w:sz w:val="17"/>
              </w:rPr>
              <w:t>BRD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FRD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ТЗ (ГОСТ 34.602-89)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Продуктовая стратегия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Монетизационные модели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IT-аудит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Презентации</w:t>
            </w:r>
          </w:p>
        </w:tc>
      </w:tr>
    </w:tbl>
    <w:p>
      <w:pPr>
        <w:spacing w:before="160" w:after="40"/>
      </w:pPr>
      <w:r>
        <w:rPr>
          <w:b/>
          <w:i w:val="0"/>
          <w:color w:val="F59E0B"/>
          <w:sz w:val="22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0"/>
        </w:rPr>
        <w:t>SOFT · ЯЗЫКИ · КУРСЫ</w:t>
      </w:r>
    </w:p>
    <w:p>
      <w:pPr>
        <w:spacing w:after="0" w:line="264" w:lineRule="auto"/>
      </w:pPr>
      <w:r>
        <w:rPr>
          <w:b/>
          <w:i w:val="0"/>
          <w:color w:val="121216"/>
          <w:sz w:val="17"/>
        </w:rPr>
        <w:t xml:space="preserve">Soft:  </w:t>
      </w:r>
      <w:r>
        <w:rPr>
          <w:b w:val="0"/>
          <w:i w:val="0"/>
          <w:color w:val="555560"/>
          <w:sz w:val="17"/>
        </w:rPr>
        <w:t>Командная работа в кросс-функциональных группах (4 человека, проект ВкусВилл) · Управление группой и логистикой (10 детей, экспедиция МГУ — Тыва) · Презентация и защита проектов перед стейкхолдерами · Структурное мышление, внимание к деталям, ответственность</w:t>
      </w:r>
    </w:p>
    <w:p>
      <w:pPr>
        <w:spacing w:after="0" w:line="264" w:lineRule="auto"/>
      </w:pPr>
      <w:r>
        <w:rPr>
          <w:b/>
          <w:i w:val="0"/>
          <w:color w:val="121216"/>
          <w:sz w:val="17"/>
        </w:rPr>
        <w:t xml:space="preserve">Языки:  </w:t>
      </w:r>
      <w:r>
        <w:rPr>
          <w:b w:val="0"/>
          <w:i w:val="0"/>
          <w:color w:val="555560"/>
          <w:sz w:val="17"/>
        </w:rPr>
        <w:t>Русский — родной</w:t>
      </w:r>
    </w:p>
    <w:p>
      <w:pPr>
        <w:spacing w:after="0" w:line="264" w:lineRule="auto"/>
      </w:pPr>
      <w:r>
        <w:rPr>
          <w:b/>
          <w:i w:val="0"/>
          <w:color w:val="121216"/>
          <w:sz w:val="17"/>
        </w:rPr>
        <w:t xml:space="preserve">Курсы:  </w:t>
      </w:r>
      <w:r>
        <w:rPr>
          <w:b w:val="0"/>
          <w:i w:val="0"/>
          <w:color w:val="555560"/>
          <w:sz w:val="17"/>
        </w:rPr>
        <w:t>2026 Eduson Academy — «Продуктовый маркетолог» · 2024 YudaevSchool — «Дизайнер в Digital»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