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21216"/>
          <w:sz w:val="36"/>
        </w:rPr>
        <w:t>Баротова Сабина Андреевна</w:t>
      </w:r>
    </w:p>
    <w:p>
      <w:pPr>
        <w:spacing w:after="40"/>
      </w:pPr>
      <w:r>
        <w:rPr>
          <w:b/>
          <w:i w:val="0"/>
          <w:color w:val="6366F1"/>
          <w:sz w:val="22"/>
        </w:rPr>
        <w:t>Junior System Analyst</w:t>
      </w:r>
    </w:p>
    <w:p>
      <w:pPr>
        <w:spacing w:after="40"/>
      </w:pPr>
      <w:r>
        <w:rPr>
          <w:b w:val="0"/>
          <w:i w:val="0"/>
          <w:color w:val="121216"/>
          <w:sz w:val="18"/>
        </w:rPr>
        <w:t>Москва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+7 (926) 058-27-87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sabina.1998.barotova@mail.ru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b w:val="0"/>
          <w:i w:val="0"/>
          <w:color w:val="121216"/>
          <w:sz w:val="18"/>
        </w:rPr>
        <w:t>Гибрид / удалённо</w:t>
      </w:r>
    </w:p>
    <w:p>
      <w:pPr>
        <w:spacing w:before="0" w:after="0"/>
        <w:pBdr>
          <w:bottom w:val="single" w:sz="6" w:space="1" w:color="E5E5EA"/>
        </w:pBdr>
      </w:pPr>
    </w:p>
    <w:p>
      <w:pPr>
        <w:spacing w:before="160" w:after="40"/>
      </w:pPr>
      <w:r>
        <w:rPr>
          <w:b/>
          <w:i w:val="0"/>
          <w:color w:val="6366F1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О СЕБЕ</w:t>
      </w:r>
    </w:p>
    <w:p>
      <w:pPr>
        <w:spacing w:after="0" w:line="276" w:lineRule="auto"/>
      </w:pPr>
      <w:r>
        <w:rPr>
          <w:b w:val="0"/>
          <w:i w:val="0"/>
          <w:color w:val="121216"/>
          <w:sz w:val="18"/>
        </w:rPr>
        <w:t>Студентка 3 курса бизнес-информатики МИРЭА. Разрабатываю ТЗ по ГОСТ 34.602-89, моделирую данные в IDEF1X/ER, описываю процессы AS-IS/TO-BE, провожу IT-аудит. SQL, C++, Python, draw.io, MS Visio.</w:t>
      </w:r>
    </w:p>
    <w:p>
      <w:pPr>
        <w:spacing w:before="160" w:after="40"/>
      </w:pPr>
      <w:r>
        <w:rPr>
          <w:b/>
          <w:i w:val="0"/>
          <w:color w:val="6366F1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ОБРАЗОВАНИЕ</w:t>
      </w:r>
    </w:p>
    <w:p>
      <w:pPr>
        <w:spacing w:after="0" w:line="276" w:lineRule="auto"/>
      </w:pPr>
      <w:r>
        <w:rPr>
          <w:b/>
          <w:i w:val="0"/>
          <w:color w:val="121216"/>
          <w:sz w:val="19"/>
        </w:rPr>
        <w:t>МИРЭА — Российский технологический университет</w:t>
      </w:r>
      <w:r>
        <w:rPr>
          <w:b w:val="0"/>
          <w:i w:val="0"/>
          <w:color w:val="9999A3"/>
          <w:sz w:val="18"/>
        </w:rPr>
        <w:t xml:space="preserve">  ·  </w:t>
      </w:r>
      <w:r>
        <w:rPr>
          <w:b w:val="0"/>
          <w:i w:val="0"/>
          <w:color w:val="555560"/>
          <w:sz w:val="18"/>
        </w:rPr>
        <w:t>Институт информационных технологий, бизнес-информатика, 3 курс, группа УИБО-07-23 · 2023 — 2027</w:t>
      </w:r>
    </w:p>
    <w:p>
      <w:pPr>
        <w:spacing w:before="160" w:after="40"/>
      </w:pPr>
      <w:r>
        <w:rPr>
          <w:b/>
          <w:i w:val="0"/>
          <w:color w:val="6366F1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КЕЙСЫ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1. </w:t>
      </w:r>
      <w:r>
        <w:rPr>
          <w:b/>
          <w:i w:val="0"/>
          <w:color w:val="121216"/>
          <w:sz w:val="19"/>
        </w:rPr>
        <w:t>Стратегический анализ ВкусВилл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Командный кейс (4 человека) · 2025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Разобрала миссию и экосистему по фреймворку SMART, описала эффективность для 4 групп стейкхолдеров (покупатели, сотрудники, поставщики, общество)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SMART · Stakeholder Map · Growth Matrix · MS PowerPoint · MS Word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2. </w:t>
      </w:r>
      <w:r>
        <w:rPr>
          <w:b/>
          <w:i w:val="0"/>
          <w:color w:val="121216"/>
          <w:sz w:val="19"/>
        </w:rPr>
        <w:t>Studyhall — продуктовая стратегия (UBK EdTech)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продуктовый кейс · 2025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Конкурентный анализ 5 EdTech-платформ; value proposition «immersive 2D + AI tutor»; 4 сегмента + JTBD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JTBD · Конкурентный анализ · Pricing strategy · ARPU/LTV · Figma · MS Excel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3. </w:t>
      </w:r>
      <w:r>
        <w:rPr>
          <w:b/>
          <w:i w:val="0"/>
          <w:color w:val="121216"/>
          <w:sz w:val="19"/>
        </w:rPr>
        <w:t>Studyhall — техническая архитектура EdTech-симулятора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Системный кейс · 2025 · EdTech · AI · RAG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4-слойная архитектура: Frontend, Backend, ML/AI, DevOps; REST между Node.js и FastAPI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REST-API · PostgreSQL · Node.js / Express · Python / FastAPI · RAG · LLaMA (ollama) · Docker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4. </w:t>
      </w:r>
      <w:r>
        <w:rPr>
          <w:b/>
          <w:i w:val="0"/>
          <w:color w:val="121216"/>
          <w:sz w:val="19"/>
        </w:rPr>
        <w:t>Бизнес-архитектура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системного анализа · 2025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Построила диаграмму «Структура входов и выходов организации»: внешняя среда → входы → процесс преобразования → выходы → потребители (B2C / B2B / общество)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Системный анализ · IDEF0-подход · draw.io · MS PowerPoint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5. </w:t>
      </w:r>
      <w:r>
        <w:rPr>
          <w:b/>
          <w:i w:val="0"/>
          <w:color w:val="121216"/>
          <w:sz w:val="19"/>
        </w:rPr>
        <w:t>ТЗ системы поддержки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· сент. — дек. 2025 · 14 недель · 6 этапов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ТЗ по ГОСТ 34.602-89 / 19.201-78 на 9 разделов; 3 модуля (Q&amp;A, маркетплейс, CRM); SLA 90-100%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ГОСТ 34.602-89 · ГОСТ 19.201-78 · RUP · MS Word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6. </w:t>
      </w:r>
      <w:r>
        <w:rPr>
          <w:b/>
          <w:i w:val="0"/>
          <w:color w:val="121216"/>
          <w:sz w:val="19"/>
        </w:rPr>
        <w:t>IT-аудит сайта Eduson Academy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Аудит продукта · 2025 · UX · Performance · SEO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Аудит по 7 метрикам (Lighthouse, PageSpeed, W3C); итог 62/100 (дизайн 85, безопасность 90, mobile 35)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UX-аудит · Google Lighthouse · PageSpeed Insights · W3C Validator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7. </w:t>
      </w:r>
      <w:r>
        <w:rPr>
          <w:b/>
          <w:i w:val="0"/>
          <w:color w:val="121216"/>
          <w:sz w:val="19"/>
        </w:rPr>
        <w:t>Модель данных IDEF1X — система управления практикой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Учебный кейс системного анализа · 2025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Спроектировала логическую модель в IDEF1X на 6 сущностей: ПОЛЬЗОВАТЕЛЬ, СТУДЕНТ, ОРГАНИЗАЦИЯ, ПРАКТИКА, ЗАЯВКА, ДОГОВОР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IDEF1X · ER-моделирование · draw.io / diagrams.net · Реляционная нормализация (3НФ)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8. </w:t>
      </w:r>
      <w:r>
        <w:rPr>
          <w:b/>
          <w:i w:val="0"/>
          <w:color w:val="121216"/>
          <w:sz w:val="19"/>
        </w:rPr>
        <w:t>Моделирование процессов AS-IS / TO-BE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Оптимизация процесса · 2025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AS-IS (7 шагов / 14 дней) → TO-BE (4 шага / 3 дня); −78% времени, 0 ручных операций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BPMN-подход · AS-IS / TO-BE · draw.io</w:t>
      </w:r>
    </w:p>
    <w:p>
      <w:pPr>
        <w:spacing w:before="0" w:after="0" w:line="264" w:lineRule="auto"/>
      </w:pPr>
      <w:r>
        <w:rPr>
          <w:b/>
          <w:i w:val="0"/>
          <w:color w:val="6366F1"/>
          <w:sz w:val="18"/>
        </w:rPr>
        <w:t xml:space="preserve">9. </w:t>
      </w:r>
      <w:r>
        <w:rPr>
          <w:b/>
          <w:i w:val="0"/>
          <w:color w:val="121216"/>
          <w:sz w:val="19"/>
        </w:rPr>
        <w:t>Курсовая на C++ — конвертер позиционных систем счисления</w:t>
      </w:r>
      <w:r>
        <w:rPr>
          <w:b w:val="0"/>
          <w:i w:val="0"/>
          <w:color w:val="9999A3"/>
          <w:sz w:val="17"/>
        </w:rPr>
        <w:t xml:space="preserve">  ·  </w:t>
      </w:r>
      <w:r>
        <w:rPr>
          <w:b w:val="0"/>
          <w:i/>
          <w:color w:val="555560"/>
          <w:sz w:val="17"/>
        </w:rPr>
        <w:t>Курсовая работа · МИРЭА · УИБО-07-23 · 2024</w:t>
      </w:r>
    </w:p>
    <w:p>
      <w:pPr>
        <w:spacing w:after="0" w:line="264" w:lineRule="auto"/>
        <w:ind w:left="255"/>
      </w:pPr>
      <w:r>
        <w:rPr>
          <w:b/>
          <w:i w:val="0"/>
          <w:color w:val="6366F1"/>
          <w:sz w:val="18"/>
        </w:rPr>
        <w:t xml:space="preserve">— </w:t>
      </w:r>
      <w:r>
        <w:rPr>
          <w:b w:val="0"/>
          <w:i w:val="0"/>
          <w:color w:val="121216"/>
          <w:sz w:val="18"/>
        </w:rPr>
        <w:t>Конвертер чисел в системах 1–16, валидация, обработка переполнения через try/catch и overflow_error; 9 тестов</w:t>
      </w:r>
    </w:p>
    <w:p>
      <w:pPr>
        <w:spacing w:after="40" w:line="264" w:lineRule="auto"/>
        <w:ind w:left="255"/>
      </w:pPr>
      <w:r>
        <w:rPr>
          <w:b/>
          <w:i w:val="0"/>
          <w:color w:val="555560"/>
          <w:sz w:val="17"/>
        </w:rPr>
        <w:t xml:space="preserve">Стек: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C++ 11/14/17 · STL · iostream / stdexcept · алгоритмы</w:t>
      </w:r>
    </w:p>
    <w:p>
      <w:pPr>
        <w:spacing w:before="160" w:after="40"/>
      </w:pPr>
      <w:r>
        <w:rPr>
          <w:b/>
          <w:i w:val="0"/>
          <w:color w:val="6366F1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Нотации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IDEF1X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IDEF0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ER · 3НФ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AS-IS / TO-BE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DFD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UML (базово)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BPMN-подход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Стандарты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ГОСТ 34.602-89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ГОСТ 19.201-78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RUP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Инструменты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draw.io / diagrams.net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Visio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Word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PowerPoint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MS Excel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Figma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Языки и БД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SQL (MS SQL)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PostgreSQL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C++ (STL, исключения)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Python (базово)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17"/>
              </w:rPr>
              <w:t>Документы</w:t>
            </w:r>
          </w:p>
        </w:tc>
        <w:tc>
          <w:tcPr>
            <w:tcW w:type="dxa" w:w="7654"/>
          </w:tcPr>
          <w:p>
            <w:pPr>
              <w:spacing w:after="0"/>
            </w:pPr>
            <w:r>
              <w:rPr>
                <w:b w:val="0"/>
                <w:i w:val="0"/>
                <w:color w:val="555560"/>
                <w:sz w:val="17"/>
              </w:rPr>
              <w:t>Техническое задание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Функциональные / нефункциональные требования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Модели данных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IT-аудит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Отчёты по этапам</w:t>
            </w:r>
            <w:r>
              <w:rPr>
                <w:b w:val="0"/>
                <w:i w:val="0"/>
                <w:color w:val="9999A3"/>
                <w:sz w:val="17"/>
              </w:rPr>
              <w:t xml:space="preserve"> · </w:t>
            </w:r>
            <w:r>
              <w:rPr>
                <w:b w:val="0"/>
                <w:i w:val="0"/>
                <w:color w:val="555560"/>
                <w:sz w:val="17"/>
              </w:rPr>
              <w:t>Календарный план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2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0"/>
        </w:rPr>
        <w:t>SOFT · ЯЗЫКИ · КУРСЫ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Soft:  </w:t>
      </w:r>
      <w:r>
        <w:rPr>
          <w:b w:val="0"/>
          <w:i w:val="0"/>
          <w:color w:val="555560"/>
          <w:sz w:val="17"/>
        </w:rPr>
        <w:t>Командная работа в кросс-функциональных группах (4 человека, проект ВкусВилл) · Управление группой и логистикой (10 детей, экспедиция МГУ — Тыва) · Презентация и защита проектов перед стейкхолдерами · Структурное мышление, внимание к деталям, ответственность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Языки:  </w:t>
      </w:r>
      <w:r>
        <w:rPr>
          <w:b w:val="0"/>
          <w:i w:val="0"/>
          <w:color w:val="555560"/>
          <w:sz w:val="17"/>
        </w:rPr>
        <w:t>Русский — родной</w:t>
      </w:r>
    </w:p>
    <w:p>
      <w:pPr>
        <w:spacing w:after="0" w:line="264" w:lineRule="auto"/>
      </w:pPr>
      <w:r>
        <w:rPr>
          <w:b/>
          <w:i w:val="0"/>
          <w:color w:val="121216"/>
          <w:sz w:val="17"/>
        </w:rPr>
        <w:t xml:space="preserve">Курсы:  </w:t>
      </w:r>
      <w:r>
        <w:rPr>
          <w:b w:val="0"/>
          <w:i w:val="0"/>
          <w:color w:val="555560"/>
          <w:sz w:val="17"/>
        </w:rPr>
        <w:t>2026 Eduson Academy — «Продуктовый маркетолог» · 2024 YudaevSchool — «Дизайнер в Digital»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