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041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6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bin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44"/>
              </w:rPr>
              <w:t>Баротова Сабина Андреевна</w:t>
            </w:r>
          </w:p>
          <w:p>
            <w:pPr>
              <w:spacing w:after="40"/>
            </w:pPr>
            <w:r>
              <w:rPr>
                <w:b/>
                <w:i w:val="0"/>
                <w:color w:val="6366F1"/>
                <w:sz w:val="26"/>
              </w:rPr>
              <w:t>Junior System Analyst</w:t>
            </w:r>
          </w:p>
          <w:p>
            <w:pPr>
              <w:spacing w:after="80" w:line="300" w:lineRule="auto"/>
            </w:pPr>
            <w:r>
              <w:rPr>
                <w:b w:val="0"/>
                <w:i w:val="0"/>
                <w:color w:val="121216"/>
                <w:sz w:val="20"/>
              </w:rPr>
              <w:t>Студентка 3 курса бизнес-информатики МИРЭА. Целюсь в роль системного аналитика: уверенно работаю с требованиями (BRD/FRD/ТЗ), моделирую данные в IDEF1X и ER (3НФ), описываю процессы AS-IS/TO-BE, провожу IT-аудит. Знаю ГОСТ 34.602-89 и ГОСТ 19.201-78 — могу написать ТЗ «по стандарту». Программирую на C++ и SQL, базово на Python. 9 учебных кейсов в портфолио.</w:t>
            </w:r>
          </w:p>
          <w:p>
            <w:pPr>
              <w:spacing w:after="0"/>
            </w:pPr>
            <w:r>
              <w:rPr>
                <w:b w:val="0"/>
                <w:i w:val="0"/>
                <w:color w:val="6366F1"/>
                <w:sz w:val="20"/>
              </w:rPr>
              <w:t xml:space="preserve">📞  </w:t>
            </w:r>
            <w:r>
              <w:rPr>
                <w:b w:val="0"/>
                <w:i w:val="0"/>
                <w:color w:val="121216"/>
                <w:sz w:val="20"/>
              </w:rPr>
              <w:t>+7 (926) 058-27-87</w:t>
            </w:r>
            <w:r>
              <w:rPr>
                <w:b w:val="0"/>
                <w:i w:val="0"/>
                <w:color w:val="6366F1"/>
                <w:sz w:val="20"/>
              </w:rPr>
              <w:t xml:space="preserve">      ✉  </w:t>
            </w:r>
            <w:r>
              <w:rPr>
                <w:b w:val="0"/>
                <w:i w:val="0"/>
                <w:color w:val="121216"/>
                <w:sz w:val="20"/>
              </w:rPr>
              <w:t>sabina.1998.barotova@mail.ru</w:t>
            </w:r>
          </w:p>
          <w:p>
            <w:pPr>
              <w:spacing w:after="0"/>
            </w:pPr>
            <w:r>
              <w:rPr>
                <w:b w:val="0"/>
                <w:i w:val="0"/>
                <w:color w:val="6366F1"/>
                <w:sz w:val="20"/>
              </w:rPr>
              <w:t xml:space="preserve">📍  </w:t>
            </w:r>
            <w:r>
              <w:rPr>
                <w:b w:val="0"/>
                <w:i w:val="0"/>
                <w:color w:val="555560"/>
                <w:sz w:val="20"/>
              </w:rPr>
              <w:t>Москва · Гибрид / удалённо · готова к редким командировкам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КЕЙСЫ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Стратегический анализ ВкусВилл</w:t>
      </w:r>
    </w:p>
    <w:p>
      <w:pPr>
        <w:spacing w:after="20"/>
      </w:pPr>
      <w:r>
        <w:rPr>
          <w:b w:val="0"/>
          <w:i/>
          <w:color w:val="555560"/>
          <w:sz w:val="19"/>
        </w:rPr>
        <w:t>Командный кейс (4 человека)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Разобрала миссию и экосистему компании по фреймворку SMART, описала её эффективность для 4 групп стейкхолдеров (покупатели, сотрудники, поставщики и производители,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Growth Matrix: позиция ВкусВилл — 14,9% темп роста рынка / 26,7% темп роста компании, выше квадранта «здорового роста»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рекомендации по развитию экосистемы и каналам взаимодействия с покупателем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Подготовила презентационные материалы и защитила проект в команде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SMART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Stakeholder Map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Growth Matrix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Studyhall — продуктовая стратегия (UBK EdTech)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продуктовый кейс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конкурентный анализ 5 EdTech-платформ (Quizlet, Anki, Kahoot, StudySmarter, Memrise) по 8 параметрам; выделила свободную нишу «immersive 2D + AI tutor»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Сегментировала аудиторию на 4 группы (студенты вузов, школьники, взрослые, корп.) и описала их JTBD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Продуктовая механика: 3 зоны кампуса, 5 уровней прогрессии, формула XP с 8 переменными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Монетизация: 3-tier подписка 749 / 1 189 ₽/мес, B2B 13 990 – 99 990 ₽; ARPU 969 / 1 798 ₽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Финмодель: окупаемость ~9 мес. при 5 000 пользователей и выручке 8,99 М ₽ за 6 мес.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JTBD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Конкурентный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Pricing strategy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ARPU/LTV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Figma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Excel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Studyhall — техническая архитектура EdTech-симулятора</w:t>
      </w:r>
    </w:p>
    <w:p>
      <w:pPr>
        <w:spacing w:after="20"/>
      </w:pPr>
      <w:r>
        <w:rPr>
          <w:b w:val="0"/>
          <w:i/>
          <w:color w:val="555560"/>
          <w:sz w:val="19"/>
        </w:rPr>
        <w:t>Системный кейс · 2025 · EdTech · AI · RAG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4-слойную архитектуру: Frontend (JS, HTMX, Tailwind), Backend (Node.js + Express + PostgreSQL), ML/AI, DevOps (Docker, NGINX)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требования к интеграции: REST-API между Node.js и FastAPI, очередь оценивания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Пайплайн AI-оценивания: парсинг контента → векторизация → семантический поиск → RAG-генерация → JSON-rubric (0–100)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Privacy-first: локальные LLaMA-модели (ollama), без облачных вызовов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REST-API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PostgreSQL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Node.js / Express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Python / FastAPI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RAG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LLaMA (ollama)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Docker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Бизнес-архитектура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диаграмму «Структура входов и выходов организации»: внешняя среда (поставщики тех., рынок труда, инвесторы, регуляторы — ФЗ-152, Рособрнадзор) → входы (LMS, ПО, данные, труд, знания экспертов) → процесс преобразования → выходы → потребители (B2C / B2B /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Разделила материальные и нематериальные потоки; описала ценностное предложение для каждой группы потребителей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Согласовала диаграмму с командой и презентовала результат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Системный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IDEF0-подход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ТЗ системы поддержки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· сент. — дек. 2025 · 14 недель · 6 этапов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Разработала ТЗ по ГОСТ 34.602-89 / 19.201-78 — 9 разделов: общие сведения, функциональные и нефункциональные требования, входные/выходные данные, интеграции, безопасность, документирование, испытания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3 модуля: Q&amp;A-ассистент, маркетплейс проверки заданий, CRM-интеграция тикетов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Целевой SLA 90–100% обращений в срок, централизованный сбор статистики качества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Календарный план на 6 этапов (5 сент. — 12 дек. 2025)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34.602-89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19.201-78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RUP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IT-аудит сайта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Аудит продукта · 2025 · UX · Performance · SEO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аудит сайта по 7 метрикам: дизайн, безопасность, SEO, HTML, mobile/desktop performance, accessibility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Использовала Google Lighthouse, PageSpeed Insights, W3C Validator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Итог 62/100: дизайн 85, безопасность 90, SEO 65, HTML 60, desktop 40, mobile 35, accessibility 62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приоритезированные рекомендации по улучшению mobile и HTML-валидности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UX-аудит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Google Lighthouse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PageSpeed Insights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W3C Validator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Модель данных IDEF1X — система управления практикой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логическую модель данных в IDEF1X на 6 сущностей: ПОЛЬЗОВАТЕЛЬ, СТУДЕНТ, ОРГАНИЗАЦИЯ, ПРАКТИКА, ЗАЯВКА, ДОГОВОР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Определила первичные/внешние ключи, связи 1:N, типизацию атрибутов (int, string, date, boolean), бизнес-правила (статусы заявки, флаги подписания договора студентом и организацией)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Проверила нормализацию (3НФ), описала сценарии использования и ограничения целостности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IDEF1X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ER-моделирование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 / diagrams.net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Реляционная нормализация (3НФ)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Моделирование процессов AS-IS / TO-BE</w:t>
      </w:r>
    </w:p>
    <w:p>
      <w:pPr>
        <w:spacing w:after="20"/>
      </w:pPr>
      <w:r>
        <w:rPr>
          <w:b w:val="0"/>
          <w:i/>
          <w:color w:val="555560"/>
          <w:sz w:val="19"/>
        </w:rPr>
        <w:t>Оптимизация процесса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текущие («как есть») и целевые («как должно быть») процессы организации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Идентифицировала узкие места: избыточные шаги, ручные операции, риски согласования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Предложила оптимизации: автоматизация, ЭЦП-подпись, единая система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AS-IS 7 шагов / 14 дней → TO-BE 4 шага / 3 дня; −78% времени; аудит-trail из коробки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BPMN-подход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AS-IS / TO-BE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Курсовая на C++ — конвертер позиционных систем счисления</w:t>
      </w:r>
    </w:p>
    <w:p>
      <w:pPr>
        <w:spacing w:after="20"/>
      </w:pPr>
      <w:r>
        <w:rPr>
          <w:b w:val="0"/>
          <w:i/>
          <w:color w:val="555560"/>
          <w:sz w:val="19"/>
        </w:rPr>
        <w:t>Курсовая работа · МИРЭА · УИБО-07-23 · 2024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Программа-конвертер чисел между позиционными системами счисления 1–16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Модульная структура: displayMenu, isValidNumber, convertToDecimal, convertFromDecimal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Валидация ввода и обработка исключений: try/catch, overflow_error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9 тестовых сценариев, граничные случаи (UINT64, LLONG_MAX); пояснительная записка и защита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C++ 11/14/17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STL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iostream / stdexcept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алгоритмы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ОБРАЗОВАНИЕ</w:t>
      </w:r>
    </w:p>
    <w:p>
      <w:pPr>
        <w:spacing w:after="0"/>
      </w:pPr>
      <w:r>
        <w:rPr>
          <w:b/>
          <w:i w:val="0"/>
          <w:color w:val="121216"/>
          <w:sz w:val="22"/>
        </w:rPr>
        <w:t>МИРЭА — Российский технологический университет</w:t>
      </w:r>
    </w:p>
    <w:p>
      <w:pPr>
        <w:spacing w:after="0"/>
      </w:pPr>
      <w:r>
        <w:rPr>
          <w:b w:val="0"/>
          <w:i w:val="0"/>
          <w:color w:val="555560"/>
          <w:sz w:val="20"/>
        </w:rPr>
        <w:t>Институт информационных технологий, бизнес-информатика</w:t>
      </w:r>
    </w:p>
    <w:p>
      <w:pPr>
        <w:spacing w:after="0"/>
      </w:pPr>
      <w:r>
        <w:rPr>
          <w:b w:val="0"/>
          <w:i/>
          <w:color w:val="9999A3"/>
          <w:sz w:val="19"/>
        </w:rPr>
        <w:t>3 курс, группа УИБО-07-23 · 2023 — 2027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КУРСЫ И ПОВЫШЕНИЕ КВАЛИФИКАЦИИ</w:t>
      </w:r>
    </w:p>
    <w:p>
      <w:pPr>
        <w:spacing w:after="20"/>
      </w:pPr>
      <w:r>
        <w:rPr>
          <w:b/>
          <w:i w:val="0"/>
          <w:color w:val="6366F1"/>
          <w:sz w:val="20"/>
        </w:rPr>
        <w:t xml:space="preserve">2026  </w:t>
      </w:r>
      <w:r>
        <w:rPr>
          <w:b/>
          <w:i w:val="0"/>
          <w:color w:val="121216"/>
          <w:sz w:val="20"/>
        </w:rPr>
        <w:t xml:space="preserve">Eduson Academy — </w:t>
      </w:r>
      <w:r>
        <w:rPr>
          <w:b w:val="0"/>
          <w:i w:val="0"/>
          <w:color w:val="555560"/>
          <w:sz w:val="20"/>
        </w:rPr>
        <w:t>«Продуктовый маркетолог»</w:t>
      </w:r>
    </w:p>
    <w:p>
      <w:pPr>
        <w:spacing w:after="20"/>
      </w:pPr>
      <w:r>
        <w:rPr>
          <w:b/>
          <w:i w:val="0"/>
          <w:color w:val="6366F1"/>
          <w:sz w:val="20"/>
        </w:rPr>
        <w:t xml:space="preserve">2024  </w:t>
      </w:r>
      <w:r>
        <w:rPr>
          <w:b/>
          <w:i w:val="0"/>
          <w:color w:val="121216"/>
          <w:sz w:val="20"/>
        </w:rPr>
        <w:t xml:space="preserve">YudaevSchool — </w:t>
      </w:r>
      <w:r>
        <w:rPr>
          <w:b w:val="0"/>
          <w:i w:val="0"/>
          <w:color w:val="555560"/>
          <w:sz w:val="20"/>
        </w:rPr>
        <w:t>«Дизайнер в Digital»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ПРОФЕССИОНАЛЬНЫЕ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Нотации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IDEF1X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IDEF0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ER · 3НФ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AS-IS / TO-BE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DFD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UML (базово)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BPMN-подход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Стандарты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ГОСТ 34.602-89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ГОСТ 19.201-78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RUP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draw.io / diagrams.net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Visio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Word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PowerPoint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Excel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Figma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Языки и БД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SQL (MS SQL)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PostgreSQL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C++ (STL, исключения)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Техническое задание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Функциональные / нефункциональные требования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Модели данных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IT-аудит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Отчёты по этапам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Календарный план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SOFT SKILLS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Командная работа в кросс-функциональных группах (4 человека, проект ВкусВилл)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Управление группой и логистикой (10 детей, экспедиция МГУ — Тыва)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Презентация и защита проектов перед стейкхолдерами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Структурное мышление, внимание к деталям, ответственность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Решение нестандартных задач в условиях ограничений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ЯЗЫКИ</w:t>
      </w:r>
    </w:p>
    <w:p>
      <w:pPr>
        <w:spacing w:after="0"/>
      </w:pPr>
      <w:r>
        <w:rPr>
          <w:b w:val="0"/>
          <w:i w:val="0"/>
          <w:color w:val="121216"/>
          <w:sz w:val="20"/>
        </w:rPr>
        <w:t>Русский — родной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ДОПОЛНИТЕЛЬНЫЕ КОНТАКТЫ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Telegram:  </w:t>
      </w:r>
      <w:r>
        <w:rPr>
          <w:b w:val="0"/>
          <w:i w:val="0"/>
          <w:color w:val="555560"/>
          <w:sz w:val="20"/>
        </w:rPr>
        <w:t>[Telegram — добавить]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Портфолио:  </w:t>
      </w:r>
      <w:r>
        <w:rPr>
          <w:b w:val="0"/>
          <w:i w:val="0"/>
          <w:color w:val="555560"/>
          <w:sz w:val="20"/>
        </w:rPr>
        <w:t>[Портфолио / Google Drive — добавить]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