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717799d3" w14:paraId="717799d3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_6/ythhylvd2wgc9xbglyg5rwnh0000gn/T/RtmpDUZQ3H/file10c57498ee25a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_6/ythhylvd2wgc9xbglyg5rwnh0000gn/T/RtmpDUZQ3H/file10c57498ee25a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