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i w:val="0"/>
        </w:rPr>
        <w:t>Cover letter</w:t>
      </w:r>
    </w:p>
    <w:p>
      <w:r>
        <w:rPr>
          <w:i w:val="0"/>
        </w:rPr>
        <w:t>7 October 2026</w:t>
      </w:r>
    </w:p>
    <w:p>
      <w:r>
        <w:rPr>
          <w:i w:val="0"/>
        </w:rPr>
        <w:t>Dear Editors of Clinical Oral Investigations,</w:t>
      </w:r>
    </w:p>
    <w:p>
      <w:r>
        <w:rPr>
          <w:i w:val="0"/>
        </w:rPr>
        <w:t>Please consider “Resistance and adhesion annotations in bacterial reference genomes for orofacial filler research” as a Research Article. This study connects oral and cutaneous bacterial genomics with questions raised by orofacial filler research. It reports an accession-level audit of 82 reference genomes, a corrected adhesion-related annotation screen and independent re-execution of five resistance or complementary database screens on the European Galaxy server.</w:t>
      </w:r>
    </w:p>
    <w:p>
      <w:r>
        <w:rPr>
          <w:i w:val="0"/>
        </w:rPr>
        <w:t>All 410 new outputs were audited and reproduced the corrected archived alignment multisets. The study also documents how sequence-string matching and a protein-alignment identity threshold changed the original annotation burdens. Detailed candidate evidence, quality checks, sensitivity analyses and original exports accompany the manuscript. The conclusions are limited to computational annotations; no filler colonization, antimicrobial phenotype or clinical complication risk is claimed.</w:t>
      </w:r>
    </w:p>
    <w:p>
      <w:r>
        <w:rPr>
          <w:i w:val="0"/>
        </w:rPr>
        <w:t>We request consideration under the subscription publishing route, with no APC. Online colour figures are provided; paid printed colour and other optional paid services are not requested.</w:t>
      </w:r>
    </w:p>
    <w:p>
      <w:r>
        <w:rPr>
          <w:i w:val="0"/>
        </w:rPr>
        <w:t>Author declarations to confirm before submission: the work is original, is not under consideration elsewhere, and its final content and submission have been approved by the author and any responsible institutional authorities. The author has reported no preprint deposition. These declarations require author confirmation and are not asserted as completed by this draft.</w:t>
      </w:r>
    </w:p>
    <w:p>
      <w:r>
        <w:rPr>
          <w:i w:val="0"/>
        </w:rPr>
        <w:t>Sincerely,</w:t>
      </w:r>
    </w:p>
    <w:p>
      <w:r>
        <w:rPr>
          <w:i w:val="0"/>
        </w:rPr>
        <w:t>Teresa de Lisieux Guedes Ferreira Lôbo</w:t>
      </w:r>
    </w:p>
    <w:p>
      <w:r>
        <w:rPr>
          <w:i w:val="0"/>
        </w:rPr>
        <w:t>teresa.lobo@esenfar.ufal.br</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