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 w:val="0"/>
        </w:rPr>
        <w:t>Supplementary methods and annotation profiles</w:t>
      </w:r>
    </w:p>
    <w:p>
      <w:r>
        <w:rPr>
          <w:i w:val="0"/>
        </w:rPr>
        <w:t>Resistance and adhesion annotations in bacterial reference genomes for orofacial filler research</w:t>
      </w:r>
    </w:p>
    <w:p>
      <w:r>
        <w:rPr>
          <w:i w:val="0"/>
        </w:rPr>
        <w:t>Clinical Oral Investigations</w:t>
      </w:r>
    </w:p>
    <w:p>
      <w:r>
        <w:rPr>
          <w:i w:val="0"/>
        </w:rPr>
        <w:t>Teresa de Lisieux Guedes Ferreira Lôbo</w:t>
      </w:r>
    </w:p>
    <w:p>
      <w:r>
        <w:rPr>
          <w:i w:val="0"/>
        </w:rPr>
        <w:t>Universidade Federal de Alagoas; teresa.lobo@esenfar.ufal.br</w:t>
      </w:r>
    </w:p>
    <w:p>
      <w:pPr>
        <w:pStyle w:val="Heading1"/>
      </w:pPr>
      <w:r>
        <w:rPr>
          <w:i w:val="0"/>
        </w:rPr>
        <w:t>Computational evidence</w:t>
      </w:r>
    </w:p>
    <w:p>
      <w:r>
        <w:rPr>
          <w:i w:val="0"/>
        </w:rPr>
        <w:t>The five newly executed ABRicate screens each cover 82 assemblies. Per-file hashes, multiset comparisons and original exports are supplied with Online Resources 2 and 3. AMRFinderPlus and Victors remain archived outputs. The new alignment totals match the corrected archive exactly.</w:t>
      </w:r>
    </w:p>
    <w:p>
      <w:pPr>
        <w:pStyle w:val="Heading1"/>
      </w:pPr>
      <w:r>
        <w:rPr>
          <w:i w:val="0"/>
        </w:rPr>
        <w:t>Annotation evidence</w:t>
      </w:r>
    </w:p>
    <w:p>
      <w:r>
        <w:rPr>
          <w:i w:val="0"/>
        </w:rPr>
        <w:t>The 43-category panel uses structured gene, synonym and product fields, bounded matches, intended-genus restrictions and deduplication. Broad cellular functions remain in the panel. A locus may belong to more than one category; category rows and unique loci have different meanings.</w:t>
      </w:r>
    </w:p>
    <w:p>
      <w:pPr>
        <w:pStyle w:val="Heading1"/>
      </w:pPr>
      <w:r>
        <w:rPr>
          <w:i w:val="0"/>
        </w:rPr>
        <w:t>Quality and sensitivity</w:t>
      </w:r>
    </w:p>
    <w:p>
      <w:r>
        <w:rPr>
          <w:i w:val="0"/>
        </w:rPr>
        <w:t>Strict quality criteria are post hoc. CheckM estimates were read from archived metadata. Resampling uses 1,000 within-species bootstrap draws with seed 20261007 and describes stability within this convenience sample, rather than population confidence. Candidate-category PCA uses centred nonconstant binary columns and singular value decomposition.</w:t>
      </w:r>
    </w:p>
    <w:p>
      <w:pPr>
        <w:pStyle w:val="Heading1"/>
      </w:pPr>
      <w:r>
        <w:rPr>
          <w:i w:val="0"/>
        </w:rPr>
        <w:t>Data files</w:t>
      </w:r>
    </w:p>
    <w:p>
      <w:r>
        <w:rPr>
          <w:i w:val="0"/>
        </w:rPr>
        <w:t>Online Resource 2 contains Tables S1–S11 as CSV/TSV, candidate-screen and reconstruction code, accession selection and input hash manifests. Online Resource 3 contains the five complete Galaxy export ZIPs, job identifiers, raw and filtered counts, per-accession hashes and the alignment comparison audit. All primary genome sequence files are included in the complete repository-data archive accompanying the pack.</w:t>
      </w:r>
    </w:p>
    <w:p>
      <w:r>
        <w:drawing>
          <wp:inline xmlns:a="http://schemas.openxmlformats.org/drawingml/2006/main" xmlns:pic="http://schemas.openxmlformats.org/drawingml/2006/picture">
            <wp:extent cx="5760000" cy="428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 w:val="0"/>
        </w:rPr>
        <w:t>Fig. S1 Exploratory PCA of corrected annotation categories. a Assembly coordinates. b Cumulative explained variance. PC1 and PC2 explain 34.2% and 25.7%. Patterns may track taxonomy and panel construction and do not establish filler biofilm phenotypes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