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i w:val="0"/>
        </w:rPr>
        <w:t>Resistance and adhesion annotations in bacterial reference genomes for orofacial filler research</w:t>
      </w:r>
    </w:p>
    <w:p>
      <w:r>
        <w:rPr>
          <w:i w:val="0"/>
        </w:rPr>
        <w:t>Editable tables for Clinical Oral Investigations</w:t>
      </w:r>
    </w:p>
    <w:p>
      <w:pPr>
        <w:pStyle w:val="Caption"/>
      </w:pPr>
      <w:r>
        <w:rPr>
          <w:i w:val="0"/>
        </w:rPr>
        <w:t>Table 1 Sample composition, strict quality criteria and archived AMRFinderPlus resistance records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</w:tblPr>
      <w:tblGrid>
        <w:gridCol w:w="4252"/>
        <w:gridCol w:w="1247"/>
        <w:gridCol w:w="1531"/>
        <w:gridCol w:w="2041"/>
      </w:tblGrid>
      <w:tr>
        <w:trPr>
          <w:tblHeader/>
        </w:trPr>
        <w:tc>
          <w:tcPr>
            <w:tcW w:type="dxa" w:w="4252"/>
            <w:vAlign w:val="center"/>
            <w:shd w:fill="E7EDF2"/>
          </w:tcPr>
          <w:p>
            <w:pPr>
              <w:spacing w:line="276" w:lineRule="auto" w:after="80"/>
            </w:pPr>
            <w:r>
              <w:rPr>
                <w:b/>
                <w:i w:val="0"/>
                <w:sz w:val="20"/>
              </w:rPr>
              <w:t>Species</w:t>
            </w:r>
          </w:p>
        </w:tc>
        <w:tc>
          <w:tcPr>
            <w:tcW w:type="dxa" w:w="1247"/>
            <w:vAlign w:val="center"/>
            <w:shd w:fill="E7EDF2"/>
          </w:tcPr>
          <w:p>
            <w:pPr>
              <w:spacing w:line="276" w:lineRule="auto" w:after="80"/>
            </w:pPr>
            <w:r>
              <w:rPr>
                <w:b/>
                <w:i w:val="0"/>
                <w:sz w:val="20"/>
              </w:rPr>
              <w:t>Genomes</w:t>
            </w:r>
          </w:p>
        </w:tc>
        <w:tc>
          <w:tcPr>
            <w:tcW w:type="dxa" w:w="1531"/>
            <w:vAlign w:val="center"/>
            <w:shd w:fill="E7EDF2"/>
          </w:tcPr>
          <w:p>
            <w:pPr>
              <w:spacing w:line="276" w:lineRule="auto" w:after="80"/>
            </w:pPr>
            <w:r>
              <w:rPr>
                <w:b/>
                <w:i w:val="0"/>
                <w:sz w:val="20"/>
              </w:rPr>
              <w:t>Strict QC</w:t>
            </w:r>
          </w:p>
        </w:tc>
        <w:tc>
          <w:tcPr>
            <w:tcW w:type="dxa" w:w="2041"/>
            <w:vAlign w:val="center"/>
            <w:shd w:fill="E7EDF2"/>
          </w:tcPr>
          <w:p>
            <w:pPr>
              <w:spacing w:line="276" w:lineRule="auto" w:after="80"/>
            </w:pPr>
            <w:r>
              <w:rPr>
                <w:b/>
                <w:i w:val="0"/>
                <w:sz w:val="20"/>
              </w:rPr>
              <w:t>AMR records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/>
                <w:sz w:val="20"/>
              </w:rPr>
              <w:t>Actinomyces naeslundii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/>
                <w:sz w:val="20"/>
              </w:rPr>
              <w:t>Corynebacterium striatum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19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/>
                <w:sz w:val="20"/>
              </w:rPr>
              <w:t>Cutibacterium acnes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/>
                <w:sz w:val="20"/>
              </w:rPr>
              <w:t>Enterococcus faecalis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13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/>
                <w:sz w:val="20"/>
              </w:rPr>
              <w:t>Fusobacterium nucleatum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/>
                <w:sz w:val="20"/>
              </w:rPr>
              <w:t>Porphyromonas gingivalis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/>
                <w:sz w:val="20"/>
              </w:rPr>
              <w:t>Prevotella intermedia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/>
                <w:sz w:val="20"/>
              </w:rPr>
              <w:t>Staphylococcus capitis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31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/>
                <w:sz w:val="20"/>
              </w:rPr>
              <w:t>Staphylococcus epidermidis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15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/>
                <w:sz w:val="20"/>
              </w:rPr>
              <w:t>Staphylococcus haemolyticus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/>
                <w:sz w:val="20"/>
              </w:rPr>
              <w:t>Streptococcus anginosus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13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/>
                <w:sz w:val="20"/>
              </w:rPr>
              <w:t>Streptococcus mitis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/>
                <w:sz w:val="20"/>
              </w:rPr>
              <w:t>Streptococcus oralis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/>
                <w:sz w:val="20"/>
              </w:rPr>
              <w:t>Streptococcus sanguinis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/>
                <w:sz w:val="20"/>
              </w:rPr>
              <w:t>Tannerella forsythia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/>
                <w:sz w:val="20"/>
              </w:rPr>
              <w:t>Treponema denticola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/>
                <w:sz w:val="20"/>
              </w:rPr>
              <w:t>Veillonella parvula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</w:tbl>
    <w:p>
      <w:r>
        <w:rPr>
          <w:i w:val="0"/>
        </w:rPr>
        <w:t>AMR counts exclude 10 STRESS records. Strict QC requires completeness ≥95%, contamination ≤5% and sequence/annotation integrity checks. CheckM values are archived metadata estimates.</w:t>
      </w:r>
    </w:p>
    <w:p>
      <w:r>
        <w:br w:type="page"/>
      </w:r>
    </w:p>
    <w:p>
      <w:pPr>
        <w:pStyle w:val="Caption"/>
      </w:pPr>
      <w:r>
        <w:rPr>
          <w:i w:val="0"/>
        </w:rPr>
        <w:t>Table 2 Database summaries and independent Galaxy re-execution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vAlign w:val="center"/>
            <w:shd w:fill="E7EDF2"/>
          </w:tcPr>
          <w:p>
            <w:pPr>
              <w:spacing w:line="276" w:lineRule="auto" w:after="80"/>
            </w:pPr>
            <w:r>
              <w:rPr>
                <w:b/>
                <w:i w:val="0"/>
                <w:sz w:val="20"/>
              </w:rPr>
              <w:t>Database</w:t>
            </w:r>
          </w:p>
        </w:tc>
        <w:tc>
          <w:tcPr>
            <w:tcW w:type="dxa" w:w="2268"/>
            <w:vAlign w:val="center"/>
            <w:shd w:fill="E7EDF2"/>
          </w:tcPr>
          <w:p>
            <w:pPr>
              <w:spacing w:line="276" w:lineRule="auto" w:after="80"/>
            </w:pPr>
            <w:r>
              <w:rPr>
                <w:b/>
                <w:i w:val="0"/>
                <w:sz w:val="20"/>
              </w:rPr>
              <w:t>Reference type</w:t>
            </w:r>
          </w:p>
        </w:tc>
        <w:tc>
          <w:tcPr>
            <w:tcW w:type="dxa" w:w="2268"/>
            <w:vAlign w:val="center"/>
            <w:shd w:fill="E7EDF2"/>
          </w:tcPr>
          <w:p>
            <w:pPr>
              <w:spacing w:line="276" w:lineRule="auto" w:after="80"/>
            </w:pPr>
            <w:r>
              <w:rPr>
                <w:b/>
                <w:i w:val="0"/>
                <w:sz w:val="20"/>
              </w:rPr>
              <w:t>Archived filtered</w:t>
            </w:r>
          </w:p>
        </w:tc>
        <w:tc>
          <w:tcPr>
            <w:tcW w:type="dxa" w:w="2268"/>
            <w:vAlign w:val="center"/>
            <w:shd w:fill="E7EDF2"/>
          </w:tcPr>
          <w:p>
            <w:pPr>
              <w:spacing w:line="276" w:lineRule="auto" w:after="80"/>
            </w:pPr>
            <w:r>
              <w:rPr>
                <w:b/>
                <w:i w:val="0"/>
                <w:sz w:val="20"/>
              </w:rPr>
              <w:t>New Galaxy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AMRFinderPlus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Protein/HMM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158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Not rerun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CARD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Nucleotide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214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214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ResFinder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Nucleotide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105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105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VFDB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Nucleotide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172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172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Victors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Nucleotide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1939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Not rerun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BacMet2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Protein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192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192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PlasmidFinder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Nucleotide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40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 w:after="80"/>
            </w:pPr>
            <w:r>
              <w:rPr>
                <w:b w:val="0"/>
                <w:i w:val="0"/>
                <w:sz w:val="20"/>
              </w:rPr>
              <w:t>40</w:t>
            </w:r>
          </w:p>
        </w:tc>
      </w:tr>
    </w:tbl>
    <w:p>
      <w:r>
        <w:rPr>
          <w:i w:val="0"/>
        </w:rPr>
        <w:t>New Galaxy screens cover all 82 assemblies per database. ABRicate outputs were explicitly filtered at ≥80% identity and ≥70% coverage. Identity is protein identity for BacMet2 and nucleotide identity for the other five complementary databases. Results from different databases may overlap; counts must not be summed as distinct genes. The archived AMRFinderPlus total shown excludes STRESS records. The exported Galaxy inventory confirms 2026-Apr-3 snapshots and sequence counts of CARD 6,052, ResFinder 3,206, VFDB 4,592, BacMet2 746 and PlasmidFinder 488, matching archived logs. Exact reference FASTA checksums are unavailable.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120"/>
    </w:pPr>
    <w:rPr>
      <w:rFonts w:ascii="Times New Roman" w:hAnsi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