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methods and data guide</w:t>
      </w:r>
    </w:p>
    <w:p>
      <w:r>
        <w:t>Resistance and adhesion annotations in 82 bacterial genomes relevant to orofacial filler research</w:t>
      </w:r>
    </w:p>
    <w:p>
      <w:r>
        <w:t>This supplement describes the corrected annotation screen, the archived-output reconstruction and the sensitivity files. Data tables are supplied as machine-readable CSV or TSV; their contents must be interpreted alongside the main manuscript limitations.</w:t>
      </w:r>
    </w:p>
    <w:p>
      <w:pPr>
        <w:pStyle w:val="Heading1"/>
      </w:pPr>
      <w:r>
        <w:t>S1 Genome metadata and QC</w:t>
      </w:r>
    </w:p>
    <w:p>
      <w:r>
        <w:t>Accession-level source metadata, sequence integrity, CheckM estimates and strict-QC flags. These are metadata-based quality estimates, not a fresh CheckM run.</w:t>
      </w:r>
    </w:p>
    <w:p>
      <w:pPr>
        <w:pStyle w:val="Heading1"/>
      </w:pPr>
      <w:r>
        <w:t>S2 Candidate panel</w:t>
      </w:r>
    </w:p>
    <w:p>
      <w:r>
        <w:t>Forty-three inherited annotation categories with explicit symbols, product phrases and genus restrictions. This is an exploratory annotation panel and is not a validated biofilm reference database.</w:t>
      </w:r>
    </w:p>
    <w:p>
      <w:pPr>
        <w:pStyle w:val="Heading1"/>
      </w:pPr>
      <w:r>
        <w:t>S3 Candidate evidence</w:t>
      </w:r>
    </w:p>
    <w:p>
      <w:r>
        <w:t>Every retained category match includes contig, locus, protein identifier, coordinates, source gene/product annotation, matched terms and evidence tier. Multiple category rows can represent one locus.</w:t>
      </w:r>
    </w:p>
    <w:p>
      <w:pPr>
        <w:pStyle w:val="Heading1"/>
      </w:pPr>
      <w:r>
        <w:t>S4 Legacy audit</w:t>
      </w:r>
    </w:p>
    <w:p>
      <w:r>
        <w:t>Occurrence counts separately record complete text and amino acid sequence-only regex matches for every genome and original category.</w:t>
      </w:r>
    </w:p>
    <w:p>
      <w:pPr>
        <w:pStyle w:val="Heading1"/>
      </w:pPr>
      <w:r>
        <w:t>S5 Duplicate audit</w:t>
      </w:r>
    </w:p>
    <w:p>
      <w:r>
        <w:t>Exact sequence-set and repeated strain-label checks. No exact sequence duplicates were detected. Incomplete strain metadata prevents an inference of strain independence.</w:t>
      </w:r>
    </w:p>
    <w:p>
      <w:pPr>
        <w:pStyle w:val="Heading1"/>
      </w:pPr>
      <w:r>
        <w:t>S6 Database reconstruction</w:t>
      </w:r>
    </w:p>
    <w:p>
      <w:r>
        <w:t>Archived and corrected per-genome counts, removed alignments, AMR/STRESS labels and corrected merged records for all seven databases. The #FILE header is retained as a real header.</w:t>
      </w:r>
    </w:p>
    <w:p>
      <w:pPr>
        <w:pStyle w:val="Heading1"/>
      </w:pPr>
      <w:r>
        <w:t>S7 Binary matrices</w:t>
      </w:r>
    </w:p>
    <w:p>
      <w:r>
        <w:t>All candidate annotations and the named-symbol evidence subset. Zero means no annotation matched the specified rules.</w:t>
      </w:r>
    </w:p>
    <w:p>
      <w:pPr>
        <w:pStyle w:val="Heading1"/>
      </w:pPr>
      <w:r>
        <w:t>S8 Integrated genome table</w:t>
      </w:r>
    </w:p>
    <w:p>
      <w:r>
        <w:t>Per-accession quality, sequence size, database counts and deduplicated candidate-locus counts.</w:t>
      </w:r>
    </w:p>
    <w:p>
      <w:pPr>
        <w:pStyle w:val="Heading1"/>
      </w:pPr>
      <w:r>
        <w:t>S9 Sensitivity</w:t>
      </w:r>
    </w:p>
    <w:p>
      <w:r>
        <w:t>Score and rank tables, standardized burdens, Spearman correlations and 1,000 within-species resamples. Strict-QC species with no retained genome are unavailable. Bootstrap quantiles describe this sample only.</w:t>
      </w:r>
    </w:p>
    <w:p>
      <w:pPr>
        <w:pStyle w:val="Heading1"/>
      </w:pPr>
      <w:r>
        <w:t>S10 PCA</w:t>
      </w:r>
    </w:p>
    <w:p>
      <w:r>
        <w:t>Centred nonconstant binary annotation columns, SVD coordinates, loadings and explained variance.</w:t>
      </w:r>
    </w:p>
    <w:p>
      <w:pPr>
        <w:pStyle w:val="Heading1"/>
      </w:pPr>
      <w:r>
        <w:t>S11 Association edges</w:t>
      </w:r>
    </w:p>
    <w:p>
      <w:r>
        <w:t>Species-to-annotation-category links with sampled-genome fractions. These are not demonstrated microbial interaction networks.</w:t>
      </w:r>
    </w:p>
    <w:p>
      <w:pPr>
        <w:pStyle w:val="Heading1"/>
      </w:pPr>
      <w:r>
        <w:t>Provenance</w:t>
      </w:r>
    </w:p>
    <w:p>
      <w:r>
        <w:t>Input SHA-256 hashes, accession-selection audit, 574 output/log completion checks, reference audit and verified repository evidence.</w:t>
      </w:r>
    </w:p>
    <w:p>
      <w:r>
        <w:drawing>
          <wp:inline xmlns:a="http://schemas.openxmlformats.org/drawingml/2006/main" xmlns:pic="http://schemas.openxmlformats.org/drawingml/2006/picture">
            <wp:extent cx="5400000" cy="4371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1_annotation_P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7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S1. Exploratory PCA of the corrected binary annotation-category matrix (A) and cumulative explained variance (B). PC1 and PC2 explain 34.2% and 25.7% of variance. Points represent assemblies; patterns are not filler-associated biofilm phenotypes.</w:t>
      </w:r>
    </w:p>
    <w:sectPr w:rsidR="00FC693F" w:rsidRPr="0006063C" w:rsidSect="00034616">
      <w:footerReference w:type="default" r:id="rId9"/>
      <w:pgSz w:w="11906" w:h="16838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6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6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after="120"/>
    </w:pPr>
    <w:rPr>
      <w:rFonts w:ascii="Arial" w:hAnsi="Arial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