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2"/>
        </w:rPr>
        <w:t>PRISMA-ScR protocol: Orofacial filler-associated biofilm risk</w:t>
      </w:r>
    </w:p>
    <w:p>
      <w:pPr>
        <w:jc w:val="center"/>
      </w:pPr>
      <w:r>
        <w:rPr>
          <w:i/>
          <w:sz w:val="22"/>
        </w:rPr>
        <w:t>Protocol, search strategy, eligibility criteria, extraction plan and WSL bioinformatics workflow</w:t>
      </w:r>
    </w:p>
    <w:p/>
    <w:p>
      <w:pPr>
        <w:pStyle w:val="Heading1"/>
      </w:pPr>
      <w:r>
        <w:t>1. Administrative information</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AF7"/>
          </w:tcPr>
          <w:p>
            <w:r>
              <w:rPr>
                <w:rFonts w:ascii="Arial" w:hAnsi="Arial"/>
                <w:sz w:val="17"/>
              </w:rPr>
            </w:r>
            <w:r>
              <w:rPr>
                <w:rFonts w:ascii="Arial" w:hAnsi="Arial"/>
                <w:b/>
                <w:sz w:val="17"/>
              </w:rPr>
              <w:t>Field</w:t>
            </w:r>
          </w:p>
        </w:tc>
        <w:tc>
          <w:tcPr>
            <w:tcW w:type="dxa" w:w="4896"/>
            <w:vAlign w:val="center"/>
            <w:shd w:fill="D9EAF7"/>
          </w:tcPr>
          <w:p>
            <w:r>
              <w:rPr>
                <w:rFonts w:ascii="Arial" w:hAnsi="Arial"/>
                <w:sz w:val="17"/>
              </w:rPr>
            </w:r>
            <w:r>
              <w:rPr>
                <w:rFonts w:ascii="Arial" w:hAnsi="Arial"/>
                <w:b/>
                <w:sz w:val="17"/>
              </w:rPr>
              <w:t>Content</w:t>
            </w:r>
          </w:p>
        </w:tc>
      </w:tr>
      <w:tr>
        <w:tc>
          <w:tcPr>
            <w:tcW w:type="dxa" w:w="4896"/>
            <w:vAlign w:val="center"/>
          </w:tcPr>
          <w:p>
            <w:r>
              <w:rPr>
                <w:rFonts w:ascii="Arial" w:hAnsi="Arial"/>
                <w:sz w:val="17"/>
              </w:rPr>
            </w:r>
            <w:r>
              <w:rPr>
                <w:rFonts w:ascii="Arial" w:hAnsi="Arial"/>
                <w:b w:val="0"/>
                <w:sz w:val="17"/>
              </w:rPr>
              <w:t>Review title</w:t>
            </w:r>
          </w:p>
        </w:tc>
        <w:tc>
          <w:tcPr>
            <w:tcW w:type="dxa" w:w="4896"/>
            <w:vAlign w:val="center"/>
          </w:tcPr>
          <w:p>
            <w:r>
              <w:rPr>
                <w:rFonts w:ascii="Arial" w:hAnsi="Arial"/>
                <w:sz w:val="17"/>
              </w:rPr>
            </w:r>
            <w:r>
              <w:rPr>
                <w:rFonts w:ascii="Arial" w:hAnsi="Arial"/>
                <w:b w:val="0"/>
                <w:sz w:val="17"/>
              </w:rPr>
              <w:t>Orofacial filler-associated biofilm risk: an integrative scoping review and comparative genomic analysis of oral and skin-associated bacteria</w:t>
            </w:r>
          </w:p>
        </w:tc>
      </w:tr>
      <w:tr>
        <w:tc>
          <w:tcPr>
            <w:tcW w:type="dxa" w:w="4896"/>
            <w:vAlign w:val="center"/>
          </w:tcPr>
          <w:p>
            <w:r>
              <w:rPr>
                <w:rFonts w:ascii="Arial" w:hAnsi="Arial"/>
                <w:sz w:val="17"/>
              </w:rPr>
            </w:r>
            <w:r>
              <w:rPr>
                <w:rFonts w:ascii="Arial" w:hAnsi="Arial"/>
                <w:b w:val="0"/>
                <w:sz w:val="17"/>
              </w:rPr>
              <w:t>Registration</w:t>
            </w:r>
          </w:p>
        </w:tc>
        <w:tc>
          <w:tcPr>
            <w:tcW w:type="dxa" w:w="4896"/>
            <w:vAlign w:val="center"/>
          </w:tcPr>
          <w:p>
            <w:r>
              <w:rPr>
                <w:rFonts w:ascii="Arial" w:hAnsi="Arial"/>
                <w:sz w:val="17"/>
              </w:rPr>
            </w:r>
            <w:r>
              <w:rPr>
                <w:rFonts w:ascii="Arial" w:hAnsi="Arial"/>
                <w:b w:val="0"/>
                <w:sz w:val="17"/>
              </w:rPr>
              <w:t>OSF recommended before screening</w:t>
            </w:r>
          </w:p>
        </w:tc>
      </w:tr>
      <w:tr>
        <w:tc>
          <w:tcPr>
            <w:tcW w:type="dxa" w:w="4896"/>
            <w:vAlign w:val="center"/>
          </w:tcPr>
          <w:p>
            <w:r>
              <w:rPr>
                <w:rFonts w:ascii="Arial" w:hAnsi="Arial"/>
                <w:sz w:val="17"/>
              </w:rPr>
            </w:r>
            <w:r>
              <w:rPr>
                <w:rFonts w:ascii="Arial" w:hAnsi="Arial"/>
                <w:b w:val="0"/>
                <w:sz w:val="17"/>
              </w:rPr>
              <w:t>Review type</w:t>
            </w:r>
          </w:p>
        </w:tc>
        <w:tc>
          <w:tcPr>
            <w:tcW w:type="dxa" w:w="4896"/>
            <w:vAlign w:val="center"/>
          </w:tcPr>
          <w:p>
            <w:r>
              <w:rPr>
                <w:rFonts w:ascii="Arial" w:hAnsi="Arial"/>
                <w:sz w:val="17"/>
              </w:rPr>
            </w:r>
            <w:r>
              <w:rPr>
                <w:rFonts w:ascii="Arial" w:hAnsi="Arial"/>
                <w:b w:val="0"/>
                <w:sz w:val="17"/>
              </w:rPr>
              <w:t>Scoping review with comparative genomics extension</w:t>
            </w:r>
          </w:p>
        </w:tc>
      </w:tr>
      <w:tr>
        <w:tc>
          <w:tcPr>
            <w:tcW w:type="dxa" w:w="4896"/>
            <w:vAlign w:val="center"/>
          </w:tcPr>
          <w:p>
            <w:r>
              <w:rPr>
                <w:rFonts w:ascii="Arial" w:hAnsi="Arial"/>
                <w:sz w:val="17"/>
              </w:rPr>
            </w:r>
            <w:r>
              <w:rPr>
                <w:rFonts w:ascii="Arial" w:hAnsi="Arial"/>
                <w:b w:val="0"/>
                <w:sz w:val="17"/>
              </w:rPr>
              <w:t>Reporting guideline</w:t>
            </w:r>
          </w:p>
        </w:tc>
        <w:tc>
          <w:tcPr>
            <w:tcW w:type="dxa" w:w="4896"/>
            <w:vAlign w:val="center"/>
          </w:tcPr>
          <w:p>
            <w:r>
              <w:rPr>
                <w:rFonts w:ascii="Arial" w:hAnsi="Arial"/>
                <w:sz w:val="17"/>
              </w:rPr>
            </w:r>
            <w:r>
              <w:rPr>
                <w:rFonts w:ascii="Arial" w:hAnsi="Arial"/>
                <w:b w:val="0"/>
                <w:sz w:val="17"/>
              </w:rPr>
              <w:t>PRISMA-ScR; PRISMA 2020 elements used when applicable</w:t>
            </w:r>
          </w:p>
        </w:tc>
      </w:tr>
      <w:tr>
        <w:tc>
          <w:tcPr>
            <w:tcW w:type="dxa" w:w="4896"/>
            <w:vAlign w:val="center"/>
          </w:tcPr>
          <w:p>
            <w:r>
              <w:rPr>
                <w:rFonts w:ascii="Arial" w:hAnsi="Arial"/>
                <w:sz w:val="17"/>
              </w:rPr>
            </w:r>
            <w:r>
              <w:rPr>
                <w:rFonts w:ascii="Arial" w:hAnsi="Arial"/>
                <w:b w:val="0"/>
                <w:sz w:val="17"/>
              </w:rPr>
              <w:t>Methodological framework</w:t>
            </w:r>
          </w:p>
        </w:tc>
        <w:tc>
          <w:tcPr>
            <w:tcW w:type="dxa" w:w="4896"/>
            <w:vAlign w:val="center"/>
          </w:tcPr>
          <w:p>
            <w:r>
              <w:rPr>
                <w:rFonts w:ascii="Arial" w:hAnsi="Arial"/>
                <w:sz w:val="17"/>
              </w:rPr>
            </w:r>
            <w:r>
              <w:rPr>
                <w:rFonts w:ascii="Arial" w:hAnsi="Arial"/>
                <w:b w:val="0"/>
                <w:sz w:val="17"/>
              </w:rPr>
              <w:t>JBI updated guidance for scoping reviews</w:t>
            </w:r>
          </w:p>
        </w:tc>
      </w:tr>
    </w:tbl>
    <w:p/>
    <w:p>
      <w:pPr>
        <w:pStyle w:val="Heading1"/>
      </w:pPr>
      <w:r>
        <w:t>2. Rationale</w:t>
      </w:r>
    </w:p>
    <w:p>
      <w:r>
        <w:t>Delayed complications after hyaluronic acid filler procedures are heterogeneous and may involve immune, infectious and biofilm-related mechanisms. The orofacial region is especially relevant because lips, nasolabial folds and perioral tissues are adjacent to oral microbial reservoirs. The protocol maps clinical evidence and integrates it with comparative genomic screening of candidate bacteria.</w:t>
      </w:r>
    </w:p>
    <w:p>
      <w:pPr>
        <w:pStyle w:val="Heading1"/>
      </w:pPr>
      <w:r>
        <w:t>3. PCC and PECO</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D9EAF7"/>
          </w:tcPr>
          <w:p>
            <w:r>
              <w:rPr>
                <w:rFonts w:ascii="Arial" w:hAnsi="Arial"/>
                <w:sz w:val="17"/>
              </w:rPr>
            </w:r>
            <w:r>
              <w:rPr>
                <w:rFonts w:ascii="Arial" w:hAnsi="Arial"/>
                <w:b/>
                <w:sz w:val="17"/>
              </w:rPr>
              <w:t>Framework</w:t>
            </w:r>
          </w:p>
        </w:tc>
        <w:tc>
          <w:tcPr>
            <w:tcW w:type="dxa" w:w="3264"/>
            <w:vAlign w:val="center"/>
            <w:shd w:fill="D9EAF7"/>
          </w:tcPr>
          <w:p>
            <w:r>
              <w:rPr>
                <w:rFonts w:ascii="Arial" w:hAnsi="Arial"/>
                <w:sz w:val="17"/>
              </w:rPr>
            </w:r>
            <w:r>
              <w:rPr>
                <w:rFonts w:ascii="Arial" w:hAnsi="Arial"/>
                <w:b/>
                <w:sz w:val="17"/>
              </w:rPr>
              <w:t>Element</w:t>
            </w:r>
          </w:p>
        </w:tc>
        <w:tc>
          <w:tcPr>
            <w:tcW w:type="dxa" w:w="3264"/>
            <w:vAlign w:val="center"/>
            <w:shd w:fill="D9EAF7"/>
          </w:tcPr>
          <w:p>
            <w:r>
              <w:rPr>
                <w:rFonts w:ascii="Arial" w:hAnsi="Arial"/>
                <w:sz w:val="17"/>
              </w:rPr>
            </w:r>
            <w:r>
              <w:rPr>
                <w:rFonts w:ascii="Arial" w:hAnsi="Arial"/>
                <w:b/>
                <w:sz w:val="17"/>
              </w:rPr>
              <w:t>Definition</w:t>
            </w:r>
          </w:p>
        </w:tc>
      </w:tr>
      <w:tr>
        <w:tc>
          <w:tcPr>
            <w:tcW w:type="dxa" w:w="3264"/>
            <w:vAlign w:val="center"/>
          </w:tcPr>
          <w:p>
            <w:r>
              <w:rPr>
                <w:rFonts w:ascii="Arial" w:hAnsi="Arial"/>
                <w:sz w:val="17"/>
              </w:rPr>
            </w:r>
            <w:r>
              <w:rPr>
                <w:rFonts w:ascii="Arial" w:hAnsi="Arial"/>
                <w:b w:val="0"/>
                <w:sz w:val="17"/>
              </w:rPr>
              <w:t>PCC</w:t>
            </w:r>
          </w:p>
        </w:tc>
        <w:tc>
          <w:tcPr>
            <w:tcW w:type="dxa" w:w="3264"/>
            <w:vAlign w:val="center"/>
          </w:tcPr>
          <w:p>
            <w:r>
              <w:rPr>
                <w:rFonts w:ascii="Arial" w:hAnsi="Arial"/>
                <w:sz w:val="17"/>
              </w:rPr>
            </w:r>
            <w:r>
              <w:rPr>
                <w:rFonts w:ascii="Arial" w:hAnsi="Arial"/>
                <w:b w:val="0"/>
                <w:sz w:val="17"/>
              </w:rPr>
              <w:t>Population</w:t>
            </w:r>
          </w:p>
        </w:tc>
        <w:tc>
          <w:tcPr>
            <w:tcW w:type="dxa" w:w="3264"/>
            <w:vAlign w:val="center"/>
          </w:tcPr>
          <w:p>
            <w:r>
              <w:rPr>
                <w:rFonts w:ascii="Arial" w:hAnsi="Arial"/>
                <w:sz w:val="17"/>
              </w:rPr>
            </w:r>
            <w:r>
              <w:rPr>
                <w:rFonts w:ascii="Arial" w:hAnsi="Arial"/>
                <w:b w:val="0"/>
                <w:sz w:val="17"/>
              </w:rPr>
              <w:t>Individuals receiving facial or orofacial hyaluronic acid filler procedures</w:t>
            </w:r>
          </w:p>
        </w:tc>
      </w:tr>
      <w:tr>
        <w:tc>
          <w:tcPr>
            <w:tcW w:type="dxa" w:w="3264"/>
            <w:vAlign w:val="center"/>
          </w:tcPr>
          <w:p>
            <w:r>
              <w:rPr>
                <w:rFonts w:ascii="Arial" w:hAnsi="Arial"/>
                <w:sz w:val="17"/>
              </w:rPr>
            </w:r>
            <w:r>
              <w:rPr>
                <w:rFonts w:ascii="Arial" w:hAnsi="Arial"/>
                <w:b w:val="0"/>
                <w:sz w:val="17"/>
              </w:rPr>
              <w:t>PCC</w:t>
            </w:r>
          </w:p>
        </w:tc>
        <w:tc>
          <w:tcPr>
            <w:tcW w:type="dxa" w:w="3264"/>
            <w:vAlign w:val="center"/>
          </w:tcPr>
          <w:p>
            <w:r>
              <w:rPr>
                <w:rFonts w:ascii="Arial" w:hAnsi="Arial"/>
                <w:sz w:val="17"/>
              </w:rPr>
            </w:r>
            <w:r>
              <w:rPr>
                <w:rFonts w:ascii="Arial" w:hAnsi="Arial"/>
                <w:b w:val="0"/>
                <w:sz w:val="17"/>
              </w:rPr>
              <w:t>Concept</w:t>
            </w:r>
          </w:p>
        </w:tc>
        <w:tc>
          <w:tcPr>
            <w:tcW w:type="dxa" w:w="3264"/>
            <w:vAlign w:val="center"/>
          </w:tcPr>
          <w:p>
            <w:r>
              <w:rPr>
                <w:rFonts w:ascii="Arial" w:hAnsi="Arial"/>
                <w:sz w:val="17"/>
              </w:rPr>
            </w:r>
            <w:r>
              <w:rPr>
                <w:rFonts w:ascii="Arial" w:hAnsi="Arial"/>
                <w:b w:val="0"/>
                <w:sz w:val="17"/>
              </w:rPr>
              <w:t>Biofilm, infection, oral/perioral microbiota, virulence, AMR and delayed inflammatory reaction</w:t>
            </w:r>
          </w:p>
        </w:tc>
      </w:tr>
      <w:tr>
        <w:tc>
          <w:tcPr>
            <w:tcW w:type="dxa" w:w="3264"/>
            <w:vAlign w:val="center"/>
          </w:tcPr>
          <w:p>
            <w:r>
              <w:rPr>
                <w:rFonts w:ascii="Arial" w:hAnsi="Arial"/>
                <w:sz w:val="17"/>
              </w:rPr>
            </w:r>
            <w:r>
              <w:rPr>
                <w:rFonts w:ascii="Arial" w:hAnsi="Arial"/>
                <w:b w:val="0"/>
                <w:sz w:val="17"/>
              </w:rPr>
              <w:t>PCC</w:t>
            </w:r>
          </w:p>
        </w:tc>
        <w:tc>
          <w:tcPr>
            <w:tcW w:type="dxa" w:w="3264"/>
            <w:vAlign w:val="center"/>
          </w:tcPr>
          <w:p>
            <w:r>
              <w:rPr>
                <w:rFonts w:ascii="Arial" w:hAnsi="Arial"/>
                <w:sz w:val="17"/>
              </w:rPr>
            </w:r>
            <w:r>
              <w:rPr>
                <w:rFonts w:ascii="Arial" w:hAnsi="Arial"/>
                <w:b w:val="0"/>
                <w:sz w:val="17"/>
              </w:rPr>
              <w:t>Context</w:t>
            </w:r>
          </w:p>
        </w:tc>
        <w:tc>
          <w:tcPr>
            <w:tcW w:type="dxa" w:w="3264"/>
            <w:vAlign w:val="center"/>
          </w:tcPr>
          <w:p>
            <w:r>
              <w:rPr>
                <w:rFonts w:ascii="Arial" w:hAnsi="Arial"/>
                <w:sz w:val="17"/>
              </w:rPr>
            </w:r>
            <w:r>
              <w:rPr>
                <w:rFonts w:ascii="Arial" w:hAnsi="Arial"/>
                <w:b w:val="0"/>
                <w:sz w:val="17"/>
              </w:rPr>
              <w:t>Orofacial harmonization, aesthetic dentistry, dermatology and injectable procedures</w:t>
            </w:r>
          </w:p>
        </w:tc>
      </w:tr>
      <w:tr>
        <w:tc>
          <w:tcPr>
            <w:tcW w:type="dxa" w:w="3264"/>
            <w:vAlign w:val="center"/>
          </w:tcPr>
          <w:p>
            <w:r>
              <w:rPr>
                <w:rFonts w:ascii="Arial" w:hAnsi="Arial"/>
                <w:sz w:val="17"/>
              </w:rPr>
            </w:r>
            <w:r>
              <w:rPr>
                <w:rFonts w:ascii="Arial" w:hAnsi="Arial"/>
                <w:b w:val="0"/>
                <w:sz w:val="17"/>
              </w:rPr>
              <w:t>PECO</w:t>
            </w:r>
          </w:p>
        </w:tc>
        <w:tc>
          <w:tcPr>
            <w:tcW w:type="dxa" w:w="3264"/>
            <w:vAlign w:val="center"/>
          </w:tcPr>
          <w:p>
            <w:r>
              <w:rPr>
                <w:rFonts w:ascii="Arial" w:hAnsi="Arial"/>
                <w:sz w:val="17"/>
              </w:rPr>
            </w:r>
            <w:r>
              <w:rPr>
                <w:rFonts w:ascii="Arial" w:hAnsi="Arial"/>
                <w:b w:val="0"/>
                <w:sz w:val="17"/>
              </w:rPr>
              <w:t>Population</w:t>
            </w:r>
          </w:p>
        </w:tc>
        <w:tc>
          <w:tcPr>
            <w:tcW w:type="dxa" w:w="3264"/>
            <w:vAlign w:val="center"/>
          </w:tcPr>
          <w:p>
            <w:r>
              <w:rPr>
                <w:rFonts w:ascii="Arial" w:hAnsi="Arial"/>
                <w:sz w:val="17"/>
              </w:rPr>
            </w:r>
            <w:r>
              <w:rPr>
                <w:rFonts w:ascii="Arial" w:hAnsi="Arial"/>
                <w:b w:val="0"/>
                <w:sz w:val="17"/>
              </w:rPr>
              <w:t>Patients undergoing HA filler procedures</w:t>
            </w:r>
          </w:p>
        </w:tc>
      </w:tr>
      <w:tr>
        <w:tc>
          <w:tcPr>
            <w:tcW w:type="dxa" w:w="3264"/>
            <w:vAlign w:val="center"/>
          </w:tcPr>
          <w:p>
            <w:r>
              <w:rPr>
                <w:rFonts w:ascii="Arial" w:hAnsi="Arial"/>
                <w:sz w:val="17"/>
              </w:rPr>
            </w:r>
            <w:r>
              <w:rPr>
                <w:rFonts w:ascii="Arial" w:hAnsi="Arial"/>
                <w:b w:val="0"/>
                <w:sz w:val="17"/>
              </w:rPr>
              <w:t>PECO</w:t>
            </w:r>
          </w:p>
        </w:tc>
        <w:tc>
          <w:tcPr>
            <w:tcW w:type="dxa" w:w="3264"/>
            <w:vAlign w:val="center"/>
          </w:tcPr>
          <w:p>
            <w:r>
              <w:rPr>
                <w:rFonts w:ascii="Arial" w:hAnsi="Arial"/>
                <w:sz w:val="17"/>
              </w:rPr>
            </w:r>
            <w:r>
              <w:rPr>
                <w:rFonts w:ascii="Arial" w:hAnsi="Arial"/>
                <w:b w:val="0"/>
                <w:sz w:val="17"/>
              </w:rPr>
              <w:t>Exposure</w:t>
            </w:r>
          </w:p>
        </w:tc>
        <w:tc>
          <w:tcPr>
            <w:tcW w:type="dxa" w:w="3264"/>
            <w:vAlign w:val="center"/>
          </w:tcPr>
          <w:p>
            <w:r>
              <w:rPr>
                <w:rFonts w:ascii="Arial" w:hAnsi="Arial"/>
                <w:sz w:val="17"/>
              </w:rPr>
            </w:r>
            <w:r>
              <w:rPr>
                <w:rFonts w:ascii="Arial" w:hAnsi="Arial"/>
                <w:b w:val="0"/>
                <w:sz w:val="17"/>
              </w:rPr>
              <w:t>Microbiological risk factors, periodontal disease, odontogenic infection, oral/perioral bacteria, biofilm</w:t>
            </w:r>
          </w:p>
        </w:tc>
      </w:tr>
      <w:tr>
        <w:tc>
          <w:tcPr>
            <w:tcW w:type="dxa" w:w="3264"/>
            <w:vAlign w:val="center"/>
          </w:tcPr>
          <w:p>
            <w:r>
              <w:rPr>
                <w:rFonts w:ascii="Arial" w:hAnsi="Arial"/>
                <w:sz w:val="17"/>
              </w:rPr>
            </w:r>
            <w:r>
              <w:rPr>
                <w:rFonts w:ascii="Arial" w:hAnsi="Arial"/>
                <w:b w:val="0"/>
                <w:sz w:val="17"/>
              </w:rPr>
              <w:t>PECO</w:t>
            </w:r>
          </w:p>
        </w:tc>
        <w:tc>
          <w:tcPr>
            <w:tcW w:type="dxa" w:w="3264"/>
            <w:vAlign w:val="center"/>
          </w:tcPr>
          <w:p>
            <w:r>
              <w:rPr>
                <w:rFonts w:ascii="Arial" w:hAnsi="Arial"/>
                <w:sz w:val="17"/>
              </w:rPr>
            </w:r>
            <w:r>
              <w:rPr>
                <w:rFonts w:ascii="Arial" w:hAnsi="Arial"/>
                <w:b w:val="0"/>
                <w:sz w:val="17"/>
              </w:rPr>
              <w:t>Comparator</w:t>
            </w:r>
          </w:p>
        </w:tc>
        <w:tc>
          <w:tcPr>
            <w:tcW w:type="dxa" w:w="3264"/>
            <w:vAlign w:val="center"/>
          </w:tcPr>
          <w:p>
            <w:r>
              <w:rPr>
                <w:rFonts w:ascii="Arial" w:hAnsi="Arial"/>
                <w:sz w:val="17"/>
              </w:rPr>
            </w:r>
            <w:r>
              <w:rPr>
                <w:rFonts w:ascii="Arial" w:hAnsi="Arial"/>
                <w:b w:val="0"/>
                <w:sz w:val="17"/>
              </w:rPr>
              <w:t>Non-complicated cases or cases without microbiological evidence, when available</w:t>
            </w:r>
          </w:p>
        </w:tc>
      </w:tr>
      <w:tr>
        <w:tc>
          <w:tcPr>
            <w:tcW w:type="dxa" w:w="3264"/>
            <w:vAlign w:val="center"/>
          </w:tcPr>
          <w:p>
            <w:r>
              <w:rPr>
                <w:rFonts w:ascii="Arial" w:hAnsi="Arial"/>
                <w:sz w:val="17"/>
              </w:rPr>
            </w:r>
            <w:r>
              <w:rPr>
                <w:rFonts w:ascii="Arial" w:hAnsi="Arial"/>
                <w:b w:val="0"/>
                <w:sz w:val="17"/>
              </w:rPr>
              <w:t>PECO</w:t>
            </w:r>
          </w:p>
        </w:tc>
        <w:tc>
          <w:tcPr>
            <w:tcW w:type="dxa" w:w="3264"/>
            <w:vAlign w:val="center"/>
          </w:tcPr>
          <w:p>
            <w:r>
              <w:rPr>
                <w:rFonts w:ascii="Arial" w:hAnsi="Arial"/>
                <w:sz w:val="17"/>
              </w:rPr>
            </w:r>
            <w:r>
              <w:rPr>
                <w:rFonts w:ascii="Arial" w:hAnsi="Arial"/>
                <w:b w:val="0"/>
                <w:sz w:val="17"/>
              </w:rPr>
              <w:t>Outcome</w:t>
            </w:r>
          </w:p>
        </w:tc>
        <w:tc>
          <w:tcPr>
            <w:tcW w:type="dxa" w:w="3264"/>
            <w:vAlign w:val="center"/>
          </w:tcPr>
          <w:p>
            <w:r>
              <w:rPr>
                <w:rFonts w:ascii="Arial" w:hAnsi="Arial"/>
                <w:sz w:val="17"/>
              </w:rPr>
            </w:r>
            <w:r>
              <w:rPr>
                <w:rFonts w:ascii="Arial" w:hAnsi="Arial"/>
                <w:b w:val="0"/>
                <w:sz w:val="17"/>
              </w:rPr>
              <w:t>Delayed nodules, abscesses, edema, granuloma, infection, recurrence or antimicrobial/hyaluronidase treatment</w:t>
            </w:r>
          </w:p>
        </w:tc>
      </w:tr>
    </w:tbl>
    <w:p/>
    <w:p>
      <w:pPr>
        <w:pStyle w:val="Heading1"/>
      </w:pPr>
      <w:r>
        <w:t>4. Search strategy</w:t>
      </w:r>
    </w:p>
    <w:p>
      <w:pPr>
        <w:pStyle w:val="Heading2"/>
      </w:pPr>
      <w:r>
        <w:t>PubMed/MEDLINE</w:t>
      </w:r>
    </w:p>
    <w:p>
      <w:pPr/>
      <w:r>
        <w:t>("hyaluronic acid"[MeSH Terms] OR "hyaluronic acid filler*"[Title/Abstract] OR "dermal filler*"[Title/Abstract] OR "soft tissue filler*"[Title/Abstract] OR "facial filler*"[Title/Abstract]) AND (biofilm*[Title/Abstract] OR infection*[Title/Abstract] OR bacteria*[Title/Abstract] OR microbiota[Title/Abstract] OR microbiome[Title/Abstract] OR "delayed inflammatory reaction*"[Title/Abstract] OR "delayed onset nodule*"[Title/Abstract] OR nodule*[Title/Abstract] OR granuloma*[Title/Abstract] OR abscess*[Title/Abstract]) AND (facial[Title/Abstract] OR orofacial[Title/Abstract] OR oral[Title/Abstract] OR perioral[Title/Abstract] OR lip*[Title/Abstract] OR nasolabial[Title/Abstract] OR chin[Title/Abstract] OR jawline[Title/Abstract] OR malar[Title/Abstract])</w:t>
      </w:r>
    </w:p>
    <w:p>
      <w:pPr>
        <w:pStyle w:val="Heading2"/>
      </w:pPr>
      <w:r>
        <w:t>PubMed dental expansion</w:t>
      </w:r>
    </w:p>
    <w:p>
      <w:pPr/>
      <w:r>
        <w:t>("hyaluronic acid filler*"[Title/Abstract] OR "dermal filler*"[Title/Abstract]) AND (dental[Title/Abstract] OR oral[Title/Abstract] OR odontogenic[Title/Abstract] OR periodontal[Title/Abstract] OR periodontitis[Title/Abstract] OR "oral microbiome"[Title/Abstract] OR "oral microbiota"[Title/Abstract]) AND (complication*[Title/Abstract] OR infection*[Title/Abstract] OR biofilm*[Title/Abstract] OR nodule*[Title/Abstract] OR granuloma*[Title/Abstract] OR abscess*[Title/Abstract])</w:t>
      </w:r>
    </w:p>
    <w:p>
      <w:pPr>
        <w:pStyle w:val="Heading2"/>
      </w:pPr>
      <w:r>
        <w:t>Scopus</w:t>
      </w:r>
    </w:p>
    <w:p>
      <w:pPr/>
      <w:r>
        <w:t>TITLE-ABS-KEY ( "hyaluronic acid filler*" OR "dermal filler*" OR "soft tissue filler*" OR "facial filler*" OR "injectable filler*" ) AND TITLE-ABS-KEY ( biofilm* OR infection* OR bacteria* OR microbiota OR microbiome OR "delayed inflammatory reaction*" OR "delayed onset nodule*" OR nodule* OR granuloma* OR abscess* ) AND TITLE-ABS-KEY ( facial OR orofacial OR oral OR perioral OR lip* OR nasolabial OR chin OR jawline OR malar )</w:t>
      </w:r>
    </w:p>
    <w:p>
      <w:pPr>
        <w:pStyle w:val="Heading2"/>
      </w:pPr>
      <w:r>
        <w:t>Web of Science</w:t>
      </w:r>
    </w:p>
    <w:p>
      <w:pPr/>
      <w:r>
        <w:t>TS=("hyaluronic acid filler*" OR "dermal filler*" OR "soft tissue filler*" OR "facial filler*" OR "injectable filler*") AND TS=(biofilm* OR infection* OR bacteria* OR microbiota OR microbiome OR "delayed inflammatory reaction*" OR "delayed onset nodule*" OR nodule* OR granuloma* OR abscess*) AND TS=(facial OR orofacial OR oral OR perioral OR lip* OR nasolabial OR chin OR jawline OR malar)</w:t>
      </w:r>
    </w:p>
    <w:p>
      <w:pPr>
        <w:pStyle w:val="Heading1"/>
      </w:pPr>
      <w:r>
        <w:t>5. Eligibility criteria</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AF7"/>
          </w:tcPr>
          <w:p>
            <w:r>
              <w:rPr>
                <w:rFonts w:ascii="Arial" w:hAnsi="Arial"/>
                <w:sz w:val="17"/>
              </w:rPr>
            </w:r>
            <w:r>
              <w:rPr>
                <w:rFonts w:ascii="Arial" w:hAnsi="Arial"/>
                <w:b/>
                <w:sz w:val="17"/>
              </w:rPr>
              <w:t>Include</w:t>
            </w:r>
          </w:p>
        </w:tc>
        <w:tc>
          <w:tcPr>
            <w:tcW w:type="dxa" w:w="4896"/>
            <w:vAlign w:val="center"/>
            <w:shd w:fill="D9EAF7"/>
          </w:tcPr>
          <w:p>
            <w:r>
              <w:rPr>
                <w:rFonts w:ascii="Arial" w:hAnsi="Arial"/>
                <w:sz w:val="17"/>
              </w:rPr>
            </w:r>
            <w:r>
              <w:rPr>
                <w:rFonts w:ascii="Arial" w:hAnsi="Arial"/>
                <w:b/>
                <w:sz w:val="17"/>
              </w:rPr>
              <w:t>Exclude</w:t>
            </w:r>
          </w:p>
        </w:tc>
      </w:tr>
      <w:tr>
        <w:tc>
          <w:tcPr>
            <w:tcW w:type="dxa" w:w="4896"/>
            <w:vAlign w:val="center"/>
          </w:tcPr>
          <w:p>
            <w:r>
              <w:rPr>
                <w:rFonts w:ascii="Arial" w:hAnsi="Arial"/>
                <w:sz w:val="17"/>
              </w:rPr>
            </w:r>
            <w:r>
              <w:rPr>
                <w:rFonts w:ascii="Arial" w:hAnsi="Arial"/>
                <w:b w:val="0"/>
                <w:sz w:val="17"/>
              </w:rPr>
              <w:t>HA filler procedures in facial or orofacial regions</w:t>
            </w:r>
          </w:p>
        </w:tc>
        <w:tc>
          <w:tcPr>
            <w:tcW w:type="dxa" w:w="4896"/>
            <w:vAlign w:val="center"/>
          </w:tcPr>
          <w:p>
            <w:r>
              <w:rPr>
                <w:rFonts w:ascii="Arial" w:hAnsi="Arial"/>
                <w:sz w:val="17"/>
              </w:rPr>
            </w:r>
            <w:r>
              <w:rPr>
                <w:rFonts w:ascii="Arial" w:hAnsi="Arial"/>
                <w:b w:val="0"/>
                <w:sz w:val="17"/>
              </w:rPr>
              <w:t>Topical/non-injectable HA only</w:t>
            </w:r>
          </w:p>
        </w:tc>
      </w:tr>
      <w:tr>
        <w:tc>
          <w:tcPr>
            <w:tcW w:type="dxa" w:w="4896"/>
            <w:vAlign w:val="center"/>
          </w:tcPr>
          <w:p>
            <w:r>
              <w:rPr>
                <w:rFonts w:ascii="Arial" w:hAnsi="Arial"/>
                <w:sz w:val="17"/>
              </w:rPr>
            </w:r>
            <w:r>
              <w:rPr>
                <w:rFonts w:ascii="Arial" w:hAnsi="Arial"/>
                <w:b w:val="0"/>
                <w:sz w:val="17"/>
              </w:rPr>
              <w:t>Delayed inflammatory or infectious complications</w:t>
            </w:r>
          </w:p>
        </w:tc>
        <w:tc>
          <w:tcPr>
            <w:tcW w:type="dxa" w:w="4896"/>
            <w:vAlign w:val="center"/>
          </w:tcPr>
          <w:p>
            <w:r>
              <w:rPr>
                <w:rFonts w:ascii="Arial" w:hAnsi="Arial"/>
                <w:sz w:val="17"/>
              </w:rPr>
            </w:r>
            <w:r>
              <w:rPr>
                <w:rFonts w:ascii="Arial" w:hAnsi="Arial"/>
                <w:b w:val="0"/>
                <w:sz w:val="17"/>
              </w:rPr>
              <w:t>Non-HA fillers without separable HA data</w:t>
            </w:r>
          </w:p>
        </w:tc>
      </w:tr>
      <w:tr>
        <w:tc>
          <w:tcPr>
            <w:tcW w:type="dxa" w:w="4896"/>
            <w:vAlign w:val="center"/>
          </w:tcPr>
          <w:p>
            <w:r>
              <w:rPr>
                <w:rFonts w:ascii="Arial" w:hAnsi="Arial"/>
                <w:sz w:val="17"/>
              </w:rPr>
            </w:r>
            <w:r>
              <w:rPr>
                <w:rFonts w:ascii="Arial" w:hAnsi="Arial"/>
                <w:b w:val="0"/>
                <w:sz w:val="17"/>
              </w:rPr>
              <w:t>Biofilm, infection, bacteria, microbiota, antimicrobial treatment or diagnostic evidence</w:t>
            </w:r>
          </w:p>
        </w:tc>
        <w:tc>
          <w:tcPr>
            <w:tcW w:type="dxa" w:w="4896"/>
            <w:vAlign w:val="center"/>
          </w:tcPr>
          <w:p>
            <w:r>
              <w:rPr>
                <w:rFonts w:ascii="Arial" w:hAnsi="Arial"/>
                <w:sz w:val="17"/>
              </w:rPr>
            </w:r>
            <w:r>
              <w:rPr>
                <w:rFonts w:ascii="Arial" w:hAnsi="Arial"/>
                <w:b w:val="0"/>
                <w:sz w:val="17"/>
              </w:rPr>
              <w:t>No complication or no relevant clinical/microbiological data</w:t>
            </w:r>
          </w:p>
        </w:tc>
      </w:tr>
      <w:tr>
        <w:tc>
          <w:tcPr>
            <w:tcW w:type="dxa" w:w="4896"/>
            <w:vAlign w:val="center"/>
          </w:tcPr>
          <w:p>
            <w:r>
              <w:rPr>
                <w:rFonts w:ascii="Arial" w:hAnsi="Arial"/>
                <w:sz w:val="17"/>
              </w:rPr>
            </w:r>
            <w:r>
              <w:rPr>
                <w:rFonts w:ascii="Arial" w:hAnsi="Arial"/>
                <w:b w:val="0"/>
                <w:sz w:val="17"/>
              </w:rPr>
              <w:t>Case reports, case series, observational, experimental, clinical and review articles with extractable data</w:t>
            </w:r>
          </w:p>
        </w:tc>
        <w:tc>
          <w:tcPr>
            <w:tcW w:type="dxa" w:w="4896"/>
            <w:vAlign w:val="center"/>
          </w:tcPr>
          <w:p>
            <w:r>
              <w:rPr>
                <w:rFonts w:ascii="Arial" w:hAnsi="Arial"/>
                <w:sz w:val="17"/>
              </w:rPr>
            </w:r>
            <w:r>
              <w:rPr>
                <w:rFonts w:ascii="Arial" w:hAnsi="Arial"/>
                <w:b w:val="0"/>
                <w:sz w:val="17"/>
              </w:rPr>
              <w:t>Duplicated records; inaccessible full text after reasonable search</w:t>
            </w:r>
          </w:p>
        </w:tc>
      </w:tr>
    </w:tbl>
    <w:p/>
    <w:p>
      <w:pPr>
        <w:pStyle w:val="Heading1"/>
      </w:pPr>
      <w:r>
        <w:t>6. Screening and extraction</w:t>
      </w:r>
    </w:p>
    <w:p>
      <w:r>
        <w:t>Records will be deduplicated in Zotero/Mendeley and screened in Rayyan or equivalent software. Two reviewers will independently screen titles/abstracts and full texts. Data will be extracted using the accompanying Excel workbook. Disagreements will be resolved by consensus.</w:t>
      </w:r>
    </w:p>
    <w:p>
      <w:pPr>
        <w:pStyle w:val="Heading1"/>
      </w:pPr>
      <w:r>
        <w:t>7. Bioinformatics workflow</w:t>
      </w:r>
    </w:p>
    <w:p>
      <w:r>
        <w:t>Genomes will be downloaded with NCBI Datasets CLI, filtered by assembly quality and isolation source, annotated using Bakta or Prokka when needed, and screened for AMR, virulence and biofilm genes. The accompanying WSL pipeline contains environment setup, directory creation, species list, example download commands and analysis scripts.</w:t>
      </w:r>
    </w:p>
    <w:p>
      <w:pPr>
        <w:pStyle w:val="Heading1"/>
      </w:pPr>
      <w:r>
        <w:t>8. Data synthesis</w:t>
      </w:r>
    </w:p>
    <w:p>
      <w:r>
        <w:t>Clinical evidence will be summarized narratively and descriptively. Frequencies of anatomical sites, complication types, microorganisms and treatments will be tabulated. Genomic matrices will be summarized by gene richness, frequency by species, Jaccard similarity, heatmaps and species-gene-function networks. The integrated output will be a conceptual risk framework, not a validated clinical score.</w:t>
      </w:r>
    </w:p>
    <w:p>
      <w:pPr>
        <w:pStyle w:val="Heading1"/>
      </w:pPr>
      <w:r>
        <w:t>9. PRISMA-ScR checklist working table</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AF7"/>
          </w:tcPr>
          <w:p>
            <w:r>
              <w:rPr>
                <w:rFonts w:ascii="Arial" w:hAnsi="Arial"/>
                <w:sz w:val="17"/>
              </w:rPr>
            </w:r>
            <w:r>
              <w:rPr>
                <w:rFonts w:ascii="Arial" w:hAnsi="Arial"/>
                <w:b/>
                <w:sz w:val="17"/>
              </w:rPr>
              <w:t>PRISMA-ScR domain</w:t>
            </w:r>
          </w:p>
        </w:tc>
        <w:tc>
          <w:tcPr>
            <w:tcW w:type="dxa" w:w="4896"/>
            <w:vAlign w:val="center"/>
            <w:shd w:fill="D9EAF7"/>
          </w:tcPr>
          <w:p>
            <w:r>
              <w:rPr>
                <w:rFonts w:ascii="Arial" w:hAnsi="Arial"/>
                <w:sz w:val="17"/>
              </w:rPr>
            </w:r>
            <w:r>
              <w:rPr>
                <w:rFonts w:ascii="Arial" w:hAnsi="Arial"/>
                <w:b/>
                <w:sz w:val="17"/>
              </w:rPr>
              <w:t>Planned reporting location</w:t>
            </w:r>
          </w:p>
        </w:tc>
      </w:tr>
      <w:tr>
        <w:tc>
          <w:tcPr>
            <w:tcW w:type="dxa" w:w="4896"/>
            <w:vAlign w:val="center"/>
          </w:tcPr>
          <w:p>
            <w:r>
              <w:rPr>
                <w:rFonts w:ascii="Arial" w:hAnsi="Arial"/>
                <w:sz w:val="17"/>
              </w:rPr>
            </w:r>
            <w:r>
              <w:rPr>
                <w:rFonts w:ascii="Arial" w:hAnsi="Arial"/>
                <w:b w:val="0"/>
                <w:sz w:val="17"/>
              </w:rPr>
              <w:t>Title</w:t>
            </w:r>
          </w:p>
        </w:tc>
        <w:tc>
          <w:tcPr>
            <w:tcW w:type="dxa" w:w="4896"/>
            <w:vAlign w:val="center"/>
          </w:tcPr>
          <w:p>
            <w:r>
              <w:rPr>
                <w:rFonts w:ascii="Arial" w:hAnsi="Arial"/>
                <w:sz w:val="17"/>
              </w:rPr>
            </w:r>
            <w:r>
              <w:rPr>
                <w:rFonts w:ascii="Arial" w:hAnsi="Arial"/>
                <w:b w:val="0"/>
                <w:sz w:val="17"/>
              </w:rPr>
              <w:t>Manuscript title identifies scoping review and genomics component</w:t>
            </w:r>
          </w:p>
        </w:tc>
      </w:tr>
      <w:tr>
        <w:tc>
          <w:tcPr>
            <w:tcW w:type="dxa" w:w="4896"/>
            <w:vAlign w:val="center"/>
          </w:tcPr>
          <w:p>
            <w:r>
              <w:rPr>
                <w:rFonts w:ascii="Arial" w:hAnsi="Arial"/>
                <w:sz w:val="17"/>
              </w:rPr>
            </w:r>
            <w:r>
              <w:rPr>
                <w:rFonts w:ascii="Arial" w:hAnsi="Arial"/>
                <w:b w:val="0"/>
                <w:sz w:val="17"/>
              </w:rPr>
              <w:t>Abstract</w:t>
            </w:r>
          </w:p>
        </w:tc>
        <w:tc>
          <w:tcPr>
            <w:tcW w:type="dxa" w:w="4896"/>
            <w:vAlign w:val="center"/>
          </w:tcPr>
          <w:p>
            <w:r>
              <w:rPr>
                <w:rFonts w:ascii="Arial" w:hAnsi="Arial"/>
                <w:sz w:val="17"/>
              </w:rPr>
            </w:r>
            <w:r>
              <w:rPr>
                <w:rFonts w:ascii="Arial" w:hAnsi="Arial"/>
                <w:b w:val="0"/>
                <w:sz w:val="17"/>
              </w:rPr>
              <w:t>Structured abstract with rationale, objectives, eligibility, sources, synthesis and expected contribution</w:t>
            </w:r>
          </w:p>
        </w:tc>
      </w:tr>
      <w:tr>
        <w:tc>
          <w:tcPr>
            <w:tcW w:type="dxa" w:w="4896"/>
            <w:vAlign w:val="center"/>
          </w:tcPr>
          <w:p>
            <w:r>
              <w:rPr>
                <w:rFonts w:ascii="Arial" w:hAnsi="Arial"/>
                <w:sz w:val="17"/>
              </w:rPr>
            </w:r>
            <w:r>
              <w:rPr>
                <w:rFonts w:ascii="Arial" w:hAnsi="Arial"/>
                <w:b w:val="0"/>
                <w:sz w:val="17"/>
              </w:rPr>
              <w:t>Rationale</w:t>
            </w:r>
          </w:p>
        </w:tc>
        <w:tc>
          <w:tcPr>
            <w:tcW w:type="dxa" w:w="4896"/>
            <w:vAlign w:val="center"/>
          </w:tcPr>
          <w:p>
            <w:r>
              <w:rPr>
                <w:rFonts w:ascii="Arial" w:hAnsi="Arial"/>
                <w:sz w:val="17"/>
              </w:rPr>
            </w:r>
            <w:r>
              <w:rPr>
                <w:rFonts w:ascii="Arial" w:hAnsi="Arial"/>
                <w:b w:val="0"/>
                <w:sz w:val="17"/>
              </w:rPr>
              <w:t>Introduction</w:t>
            </w:r>
          </w:p>
        </w:tc>
      </w:tr>
      <w:tr>
        <w:tc>
          <w:tcPr>
            <w:tcW w:type="dxa" w:w="4896"/>
            <w:vAlign w:val="center"/>
          </w:tcPr>
          <w:p>
            <w:r>
              <w:rPr>
                <w:rFonts w:ascii="Arial" w:hAnsi="Arial"/>
                <w:sz w:val="17"/>
              </w:rPr>
            </w:r>
            <w:r>
              <w:rPr>
                <w:rFonts w:ascii="Arial" w:hAnsi="Arial"/>
                <w:b w:val="0"/>
                <w:sz w:val="17"/>
              </w:rPr>
              <w:t>Objectives</w:t>
            </w:r>
          </w:p>
        </w:tc>
        <w:tc>
          <w:tcPr>
            <w:tcW w:type="dxa" w:w="4896"/>
            <w:vAlign w:val="center"/>
          </w:tcPr>
          <w:p>
            <w:r>
              <w:rPr>
                <w:rFonts w:ascii="Arial" w:hAnsi="Arial"/>
                <w:sz w:val="17"/>
              </w:rPr>
            </w:r>
            <w:r>
              <w:rPr>
                <w:rFonts w:ascii="Arial" w:hAnsi="Arial"/>
                <w:b w:val="0"/>
                <w:sz w:val="17"/>
              </w:rPr>
              <w:t>End of Introduction and Methods</w:t>
            </w:r>
          </w:p>
        </w:tc>
      </w:tr>
      <w:tr>
        <w:tc>
          <w:tcPr>
            <w:tcW w:type="dxa" w:w="4896"/>
            <w:vAlign w:val="center"/>
          </w:tcPr>
          <w:p>
            <w:r>
              <w:rPr>
                <w:rFonts w:ascii="Arial" w:hAnsi="Arial"/>
                <w:sz w:val="17"/>
              </w:rPr>
            </w:r>
            <w:r>
              <w:rPr>
                <w:rFonts w:ascii="Arial" w:hAnsi="Arial"/>
                <w:b w:val="0"/>
                <w:sz w:val="17"/>
              </w:rPr>
              <w:t>Protocol and registration</w:t>
            </w:r>
          </w:p>
        </w:tc>
        <w:tc>
          <w:tcPr>
            <w:tcW w:type="dxa" w:w="4896"/>
            <w:vAlign w:val="center"/>
          </w:tcPr>
          <w:p>
            <w:r>
              <w:rPr>
                <w:rFonts w:ascii="Arial" w:hAnsi="Arial"/>
                <w:sz w:val="17"/>
              </w:rPr>
            </w:r>
            <w:r>
              <w:rPr>
                <w:rFonts w:ascii="Arial" w:hAnsi="Arial"/>
                <w:b w:val="0"/>
                <w:sz w:val="17"/>
              </w:rPr>
              <w:t>Methods and OSF link</w:t>
            </w:r>
          </w:p>
        </w:tc>
      </w:tr>
      <w:tr>
        <w:tc>
          <w:tcPr>
            <w:tcW w:type="dxa" w:w="4896"/>
            <w:vAlign w:val="center"/>
          </w:tcPr>
          <w:p>
            <w:r>
              <w:rPr>
                <w:rFonts w:ascii="Arial" w:hAnsi="Arial"/>
                <w:sz w:val="17"/>
              </w:rPr>
            </w:r>
            <w:r>
              <w:rPr>
                <w:rFonts w:ascii="Arial" w:hAnsi="Arial"/>
                <w:b w:val="0"/>
                <w:sz w:val="17"/>
              </w:rPr>
              <w:t>Eligibility criteria</w:t>
            </w:r>
          </w:p>
        </w:tc>
        <w:tc>
          <w:tcPr>
            <w:tcW w:type="dxa" w:w="4896"/>
            <w:vAlign w:val="center"/>
          </w:tcPr>
          <w:p>
            <w:r>
              <w:rPr>
                <w:rFonts w:ascii="Arial" w:hAnsi="Arial"/>
                <w:sz w:val="17"/>
              </w:rPr>
            </w:r>
            <w:r>
              <w:rPr>
                <w:rFonts w:ascii="Arial" w:hAnsi="Arial"/>
                <w:b w:val="0"/>
                <w:sz w:val="17"/>
              </w:rPr>
              <w:t>Methods and supplementary protocol</w:t>
            </w:r>
          </w:p>
        </w:tc>
      </w:tr>
      <w:tr>
        <w:tc>
          <w:tcPr>
            <w:tcW w:type="dxa" w:w="4896"/>
            <w:vAlign w:val="center"/>
          </w:tcPr>
          <w:p>
            <w:r>
              <w:rPr>
                <w:rFonts w:ascii="Arial" w:hAnsi="Arial"/>
                <w:sz w:val="17"/>
              </w:rPr>
            </w:r>
            <w:r>
              <w:rPr>
                <w:rFonts w:ascii="Arial" w:hAnsi="Arial"/>
                <w:b w:val="0"/>
                <w:sz w:val="17"/>
              </w:rPr>
              <w:t>Information sources</w:t>
            </w:r>
          </w:p>
        </w:tc>
        <w:tc>
          <w:tcPr>
            <w:tcW w:type="dxa" w:w="4896"/>
            <w:vAlign w:val="center"/>
          </w:tcPr>
          <w:p>
            <w:r>
              <w:rPr>
                <w:rFonts w:ascii="Arial" w:hAnsi="Arial"/>
                <w:sz w:val="17"/>
              </w:rPr>
            </w:r>
            <w:r>
              <w:rPr>
                <w:rFonts w:ascii="Arial" w:hAnsi="Arial"/>
                <w:b w:val="0"/>
                <w:sz w:val="17"/>
              </w:rPr>
              <w:t>Methods</w:t>
            </w:r>
          </w:p>
        </w:tc>
      </w:tr>
      <w:tr>
        <w:tc>
          <w:tcPr>
            <w:tcW w:type="dxa" w:w="4896"/>
            <w:vAlign w:val="center"/>
          </w:tcPr>
          <w:p>
            <w:r>
              <w:rPr>
                <w:rFonts w:ascii="Arial" w:hAnsi="Arial"/>
                <w:sz w:val="17"/>
              </w:rPr>
            </w:r>
            <w:r>
              <w:rPr>
                <w:rFonts w:ascii="Arial" w:hAnsi="Arial"/>
                <w:b w:val="0"/>
                <w:sz w:val="17"/>
              </w:rPr>
              <w:t>Search</w:t>
            </w:r>
          </w:p>
        </w:tc>
        <w:tc>
          <w:tcPr>
            <w:tcW w:type="dxa" w:w="4896"/>
            <w:vAlign w:val="center"/>
          </w:tcPr>
          <w:p>
            <w:r>
              <w:rPr>
                <w:rFonts w:ascii="Arial" w:hAnsi="Arial"/>
                <w:sz w:val="17"/>
              </w:rPr>
            </w:r>
            <w:r>
              <w:rPr>
                <w:rFonts w:ascii="Arial" w:hAnsi="Arial"/>
                <w:b w:val="0"/>
                <w:sz w:val="17"/>
              </w:rPr>
              <w:t>Supplementary search strategy</w:t>
            </w:r>
          </w:p>
        </w:tc>
      </w:tr>
      <w:tr>
        <w:tc>
          <w:tcPr>
            <w:tcW w:type="dxa" w:w="4896"/>
            <w:vAlign w:val="center"/>
          </w:tcPr>
          <w:p>
            <w:r>
              <w:rPr>
                <w:rFonts w:ascii="Arial" w:hAnsi="Arial"/>
                <w:sz w:val="17"/>
              </w:rPr>
            </w:r>
            <w:r>
              <w:rPr>
                <w:rFonts w:ascii="Arial" w:hAnsi="Arial"/>
                <w:b w:val="0"/>
                <w:sz w:val="17"/>
              </w:rPr>
              <w:t>Selection of sources</w:t>
            </w:r>
          </w:p>
        </w:tc>
        <w:tc>
          <w:tcPr>
            <w:tcW w:type="dxa" w:w="4896"/>
            <w:vAlign w:val="center"/>
          </w:tcPr>
          <w:p>
            <w:r>
              <w:rPr>
                <w:rFonts w:ascii="Arial" w:hAnsi="Arial"/>
                <w:sz w:val="17"/>
              </w:rPr>
            </w:r>
            <w:r>
              <w:rPr>
                <w:rFonts w:ascii="Arial" w:hAnsi="Arial"/>
                <w:b w:val="0"/>
                <w:sz w:val="17"/>
              </w:rPr>
              <w:t>Methods and PRISMA flow diagram</w:t>
            </w:r>
          </w:p>
        </w:tc>
      </w:tr>
      <w:tr>
        <w:tc>
          <w:tcPr>
            <w:tcW w:type="dxa" w:w="4896"/>
            <w:vAlign w:val="center"/>
          </w:tcPr>
          <w:p>
            <w:r>
              <w:rPr>
                <w:rFonts w:ascii="Arial" w:hAnsi="Arial"/>
                <w:sz w:val="17"/>
              </w:rPr>
            </w:r>
            <w:r>
              <w:rPr>
                <w:rFonts w:ascii="Arial" w:hAnsi="Arial"/>
                <w:b w:val="0"/>
                <w:sz w:val="17"/>
              </w:rPr>
              <w:t>Data charting process</w:t>
            </w:r>
          </w:p>
        </w:tc>
        <w:tc>
          <w:tcPr>
            <w:tcW w:type="dxa" w:w="4896"/>
            <w:vAlign w:val="center"/>
          </w:tcPr>
          <w:p>
            <w:r>
              <w:rPr>
                <w:rFonts w:ascii="Arial" w:hAnsi="Arial"/>
                <w:sz w:val="17"/>
              </w:rPr>
            </w:r>
            <w:r>
              <w:rPr>
                <w:rFonts w:ascii="Arial" w:hAnsi="Arial"/>
                <w:b w:val="0"/>
                <w:sz w:val="17"/>
              </w:rPr>
              <w:t>Methods and extraction workbook</w:t>
            </w:r>
          </w:p>
        </w:tc>
      </w:tr>
      <w:tr>
        <w:tc>
          <w:tcPr>
            <w:tcW w:type="dxa" w:w="4896"/>
            <w:vAlign w:val="center"/>
          </w:tcPr>
          <w:p>
            <w:r>
              <w:rPr>
                <w:rFonts w:ascii="Arial" w:hAnsi="Arial"/>
                <w:sz w:val="17"/>
              </w:rPr>
            </w:r>
            <w:r>
              <w:rPr>
                <w:rFonts w:ascii="Arial" w:hAnsi="Arial"/>
                <w:b w:val="0"/>
                <w:sz w:val="17"/>
              </w:rPr>
              <w:t>Data items</w:t>
            </w:r>
          </w:p>
        </w:tc>
        <w:tc>
          <w:tcPr>
            <w:tcW w:type="dxa" w:w="4896"/>
            <w:vAlign w:val="center"/>
          </w:tcPr>
          <w:p>
            <w:r>
              <w:rPr>
                <w:rFonts w:ascii="Arial" w:hAnsi="Arial"/>
                <w:sz w:val="17"/>
              </w:rPr>
            </w:r>
            <w:r>
              <w:rPr>
                <w:rFonts w:ascii="Arial" w:hAnsi="Arial"/>
                <w:b w:val="0"/>
                <w:sz w:val="17"/>
              </w:rPr>
              <w:t>Supplementary extraction workbook</w:t>
            </w:r>
          </w:p>
        </w:tc>
      </w:tr>
      <w:tr>
        <w:tc>
          <w:tcPr>
            <w:tcW w:type="dxa" w:w="4896"/>
            <w:vAlign w:val="center"/>
          </w:tcPr>
          <w:p>
            <w:r>
              <w:rPr>
                <w:rFonts w:ascii="Arial" w:hAnsi="Arial"/>
                <w:sz w:val="17"/>
              </w:rPr>
            </w:r>
            <w:r>
              <w:rPr>
                <w:rFonts w:ascii="Arial" w:hAnsi="Arial"/>
                <w:b w:val="0"/>
                <w:sz w:val="17"/>
              </w:rPr>
              <w:t>Synthesis of results</w:t>
            </w:r>
          </w:p>
        </w:tc>
        <w:tc>
          <w:tcPr>
            <w:tcW w:type="dxa" w:w="4896"/>
            <w:vAlign w:val="center"/>
          </w:tcPr>
          <w:p>
            <w:r>
              <w:rPr>
                <w:rFonts w:ascii="Arial" w:hAnsi="Arial"/>
                <w:sz w:val="17"/>
              </w:rPr>
            </w:r>
            <w:r>
              <w:rPr>
                <w:rFonts w:ascii="Arial" w:hAnsi="Arial"/>
                <w:b w:val="0"/>
                <w:sz w:val="17"/>
              </w:rPr>
              <w:t>Clinical synthesis and genomic synthesis sections</w:t>
            </w:r>
          </w:p>
        </w:tc>
      </w:tr>
      <w:tr>
        <w:tc>
          <w:tcPr>
            <w:tcW w:type="dxa" w:w="4896"/>
            <w:vAlign w:val="center"/>
          </w:tcPr>
          <w:p>
            <w:r>
              <w:rPr>
                <w:rFonts w:ascii="Arial" w:hAnsi="Arial"/>
                <w:sz w:val="17"/>
              </w:rPr>
            </w:r>
            <w:r>
              <w:rPr>
                <w:rFonts w:ascii="Arial" w:hAnsi="Arial"/>
                <w:b w:val="0"/>
                <w:sz w:val="17"/>
              </w:rPr>
              <w:t>Limitations</w:t>
            </w:r>
          </w:p>
        </w:tc>
        <w:tc>
          <w:tcPr>
            <w:tcW w:type="dxa" w:w="4896"/>
            <w:vAlign w:val="center"/>
          </w:tcPr>
          <w:p>
            <w:r>
              <w:rPr>
                <w:rFonts w:ascii="Arial" w:hAnsi="Arial"/>
                <w:sz w:val="17"/>
              </w:rPr>
            </w:r>
            <w:r>
              <w:rPr>
                <w:rFonts w:ascii="Arial" w:hAnsi="Arial"/>
                <w:b w:val="0"/>
                <w:sz w:val="17"/>
              </w:rPr>
              <w:t>Discussion</w:t>
            </w:r>
          </w:p>
        </w:tc>
      </w:tr>
      <w:tr>
        <w:tc>
          <w:tcPr>
            <w:tcW w:type="dxa" w:w="4896"/>
            <w:vAlign w:val="center"/>
          </w:tcPr>
          <w:p>
            <w:r>
              <w:rPr>
                <w:rFonts w:ascii="Arial" w:hAnsi="Arial"/>
                <w:sz w:val="17"/>
              </w:rPr>
            </w:r>
            <w:r>
              <w:rPr>
                <w:rFonts w:ascii="Arial" w:hAnsi="Arial"/>
                <w:b w:val="0"/>
                <w:sz w:val="17"/>
              </w:rPr>
              <w:t>Funding</w:t>
            </w:r>
          </w:p>
        </w:tc>
        <w:tc>
          <w:tcPr>
            <w:tcW w:type="dxa" w:w="4896"/>
            <w:vAlign w:val="center"/>
          </w:tcPr>
          <w:p>
            <w:r>
              <w:rPr>
                <w:rFonts w:ascii="Arial" w:hAnsi="Arial"/>
                <w:sz w:val="17"/>
              </w:rPr>
            </w:r>
            <w:r>
              <w:rPr>
                <w:rFonts w:ascii="Arial" w:hAnsi="Arial"/>
                <w:b w:val="0"/>
                <w:sz w:val="17"/>
              </w:rPr>
              <w:t>Declarations</w:t>
            </w:r>
          </w:p>
        </w:tc>
      </w:tr>
    </w:tbl>
    <w:p/>
    <w:p>
      <w:pPr>
        <w:pStyle w:val="Heading1"/>
      </w:pPr>
      <w:r>
        <w:t>References</w:t>
      </w:r>
    </w:p>
    <w:p>
      <w:pPr>
        <w:ind w:left="360" w:hanging="360"/>
      </w:pPr>
      <w:r>
        <w:rPr>
          <w:sz w:val="19"/>
        </w:rPr>
        <w:t>1. Baranska-Rybak W, Lajo-Plaza JV, Walker L, Alizadeh N. Late-onset reactions after hyaluronic acid dermal fillers: a consensus recommendation on etiology, prevention and management. Dermatol Ther (Heidelb). 2024;14(7):1767-1785. doi:10.1007/s13555-024-01202-3.</w:t>
      </w:r>
    </w:p>
    <w:p>
      <w:pPr>
        <w:ind w:left="360" w:hanging="360"/>
      </w:pPr>
      <w:r>
        <w:rPr>
          <w:sz w:val="19"/>
        </w:rPr>
        <w:t>2. Lee W, Kim J, Yang EJ, Lee JH. Etiology of delayed inflammatory reaction induced by hyaluronic acid fillers. Arch Plast Surg. 2024;51(2):105-112. doi:10.1055/a-2249-2536.</w:t>
      </w:r>
    </w:p>
    <w:p>
      <w:pPr>
        <w:ind w:left="360" w:hanging="360"/>
      </w:pPr>
      <w:r>
        <w:rPr>
          <w:sz w:val="19"/>
        </w:rPr>
        <w:t>3. Zhang YL, Sun ZS, Hong WJ, Chen Y, Zhou YF, Luo SK. Biofilm formation is a risk factor for late and delayed complications of filler injection. Front Microbiol. 2024;14:1297948. doi:10.3389/fmicb.2023.1297948.</w:t>
      </w:r>
    </w:p>
    <w:p>
      <w:pPr>
        <w:ind w:left="360" w:hanging="360"/>
      </w:pPr>
      <w:r>
        <w:rPr>
          <w:sz w:val="19"/>
        </w:rPr>
        <w:t>4. Convery C, Davies E, Murray G, Walker L. Delayed-onset nodules and considering their treatment following use of hyaluronic acid fillers. J Clin Aesthet Dermatol. 2021;14(7):E59-E67.</w:t>
      </w:r>
    </w:p>
    <w:p>
      <w:pPr>
        <w:ind w:left="360" w:hanging="360"/>
      </w:pPr>
      <w:r>
        <w:rPr>
          <w:sz w:val="19"/>
        </w:rPr>
        <w:t>5. King M, Bassett S, Davies E, King S. Management of delayed onset nodules. J Clin Aesthet Dermatol. 2016;9(11):E1-E5.</w:t>
      </w:r>
    </w:p>
    <w:p>
      <w:pPr>
        <w:ind w:left="360" w:hanging="360"/>
      </w:pPr>
      <w:r>
        <w:rPr>
          <w:sz w:val="19"/>
        </w:rPr>
        <w:t>6. Bhojani-Lynch T. Late-onset inflammatory response to hyaluronic acid dermal fillers. Plast Reconstr Surg Glob Open. 2017;5(12):e1532. doi:10.1097/GOX.0000000000001532.</w:t>
      </w:r>
    </w:p>
    <w:p>
      <w:pPr>
        <w:ind w:left="360" w:hanging="360"/>
      </w:pPr>
      <w:r>
        <w:rPr>
          <w:sz w:val="19"/>
        </w:rPr>
        <w:t>7. Ibrahim O, Overman J, Arndt KA, Dover JS. Filler nodules: inflammatory or infectious? A review of biofilms and their implications on clinical practice. Dermatol Surg. 2018;44(1):53-60. doi:10.1097/DSS.0000000000001202.</w:t>
      </w:r>
    </w:p>
    <w:p>
      <w:pPr>
        <w:ind w:left="360" w:hanging="360"/>
      </w:pPr>
      <w:r>
        <w:rPr>
          <w:sz w:val="19"/>
        </w:rPr>
        <w:t>8. Heydenrych I, Kapoor KM, De Boulle K, Goodman G, Swift A, Kumar N, Rahman E. A 10-point plan for avoiding hyaluronic acid dermal filler-related complications during facial aesthetic procedures and algorithms for management. Clin Cosmet Investig Dermatol. 2018;11:603-611. doi:10.2147/CCID.S180904.</w:t>
      </w:r>
    </w:p>
    <w:p>
      <w:pPr>
        <w:ind w:left="360" w:hanging="360"/>
      </w:pPr>
      <w:r>
        <w:rPr>
          <w:sz w:val="19"/>
        </w:rPr>
        <w:t>9. Jones DH, Fitzgerald R, Cox SE, et al. Preventing and treating adverse events of injectable fillers: evidence-based recommendations from the American Society for Dermatologic Surgery Multidisciplinary Task Force. Dermatol Surg. 2021;47(2):214-226. doi:10.1097/DSS.0000000000002924.</w:t>
      </w:r>
    </w:p>
    <w:p>
      <w:pPr>
        <w:ind w:left="360" w:hanging="360"/>
      </w:pPr>
      <w:r>
        <w:rPr>
          <w:sz w:val="19"/>
        </w:rPr>
        <w:t>10. Bachour Y, Kadouch JA, Niessen FB. The aetiopathogenesis of late inflammatory reactions after soft tissue filler use: a systematic review of the literature. Aesthetic Plast Surg. 2021;45(4):1748-1759. doi:10.1007/s00266-021-02306-3.</w:t>
      </w:r>
    </w:p>
    <w:p>
      <w:pPr>
        <w:ind w:left="360" w:hanging="360"/>
      </w:pPr>
      <w:r>
        <w:rPr>
          <w:sz w:val="19"/>
        </w:rPr>
        <w:t>11. Marsh PD. Dental plaque as a microbial biofilm. Caries Res. 2004;38(3):204-211. doi:10.1159/000077756.</w:t>
      </w:r>
    </w:p>
    <w:p>
      <w:pPr>
        <w:ind w:left="360" w:hanging="360"/>
      </w:pPr>
      <w:r>
        <w:rPr>
          <w:sz w:val="19"/>
        </w:rPr>
        <w:t>12. Kolenbrander PE, Palmer RJ Jr, Periasamy S, Jakubovics NS. Oral multispecies biofilm development and the key role of cell-cell distance. Nat Rev Microbiol. 2010;8(7):471-480. doi:10.1038/nrmicro2381.</w:t>
      </w:r>
    </w:p>
    <w:p>
      <w:pPr>
        <w:ind w:left="360" w:hanging="360"/>
      </w:pPr>
      <w:r>
        <w:rPr>
          <w:sz w:val="19"/>
        </w:rPr>
        <w:t>13. Zijnge V, van Leeuwen MBM, Degener JE, et al. Oral biofilm architecture on natural teeth. PLoS One. 2010;5(2):e9321. doi:10.1371/journal.pone.0009321.</w:t>
      </w:r>
    </w:p>
    <w:p>
      <w:pPr>
        <w:ind w:left="360" w:hanging="360"/>
      </w:pPr>
      <w:r>
        <w:rPr>
          <w:sz w:val="19"/>
        </w:rPr>
        <w:t>14. Hajishengallis G. Periodontitis: from microbial immune subversion to systemic inflammation. Nat Rev Immunol. 2015;15(1):30-44. doi:10.1038/nri3785.</w:t>
      </w:r>
    </w:p>
    <w:p>
      <w:pPr>
        <w:ind w:left="360" w:hanging="360"/>
      </w:pPr>
      <w:r>
        <w:rPr>
          <w:sz w:val="19"/>
        </w:rPr>
        <w:t>15. Donlan RM, Costerton JW. Biofilms: survival mechanisms of clinically relevant microorganisms. Clin Microbiol Rev. 2002;15(2):167-193. doi:10.1128/CMR.15.2.167-193.2002.</w:t>
      </w:r>
    </w:p>
    <w:p>
      <w:pPr>
        <w:ind w:left="360" w:hanging="360"/>
      </w:pPr>
      <w:r>
        <w:rPr>
          <w:sz w:val="19"/>
        </w:rPr>
        <w:t>16. Costerton JW, Stewart PS, Greenberg EP. Bacterial biofilms: a common cause of persistent infections. Science. 1999;284(5418):1318-1322. doi:10.1126/science.284.5418.1318.</w:t>
      </w:r>
    </w:p>
    <w:p>
      <w:pPr>
        <w:ind w:left="360" w:hanging="360"/>
      </w:pPr>
      <w:r>
        <w:rPr>
          <w:sz w:val="19"/>
        </w:rPr>
        <w:t>17. Tricco AC, Lillie E, Zarin W, et al. PRISMA Extension for Scoping Reviews (PRISMA-ScR): checklist and explanation. Ann Intern Med. 2018;169(7):467-473. doi:10.7326/M18-0850.</w:t>
      </w:r>
    </w:p>
    <w:p>
      <w:pPr>
        <w:ind w:left="360" w:hanging="360"/>
      </w:pPr>
      <w:r>
        <w:rPr>
          <w:sz w:val="19"/>
        </w:rPr>
        <w:t>18. Peters MDJ, Marnie C, Tricco AC, et al. Updated methodological guidance for the conduct of scoping reviews. JBI Evid Synth. 2020;18(10):2119-2126. doi:10.11124/JBIES-20-00167.</w:t>
      </w:r>
    </w:p>
    <w:p>
      <w:pPr>
        <w:ind w:left="360" w:hanging="360"/>
      </w:pPr>
      <w:r>
        <w:rPr>
          <w:sz w:val="19"/>
        </w:rPr>
        <w:t>19. Feldgarden M, Brover V, Gonzalez-Escalona N, et al. AMRFinderPlus and the Reference Gene Catalog facilitate examination of the genomic links among antimicrobial resistance, stress response, and virulence. Sci Rep. 2021;11(1):12728. doi:10.1038/s41598-021-91456-0.</w:t>
      </w:r>
    </w:p>
    <w:p>
      <w:pPr>
        <w:ind w:left="360" w:hanging="360"/>
      </w:pPr>
      <w:r>
        <w:rPr>
          <w:sz w:val="19"/>
        </w:rPr>
        <w:t>20. Chen L, Yang J, Yu J, et al. VFDB: a reference database for bacterial virulence factors. Nucleic Acids Res. 2005;33(Database issue):D325-D328. doi:10.1093/nar/gki008.</w:t>
      </w:r>
    </w:p>
    <w:p>
      <w:pPr>
        <w:ind w:left="360" w:hanging="360"/>
      </w:pPr>
      <w:r>
        <w:rPr>
          <w:sz w:val="19"/>
        </w:rPr>
        <w:t>21. Schwengers O, Jelonek L, Dieckmann MA, Beyvers S, Blom J, Goesmann A. Bakta: rapid and standardized annotation of bacterial genomes via alignment-free sequence identification. Microb Genom. 2021;7(11):000685. doi:10.1099/mgen.0.000685.</w:t>
      </w:r>
    </w:p>
    <w:p>
      <w:pPr>
        <w:ind w:left="360" w:hanging="360"/>
      </w:pPr>
      <w:r>
        <w:rPr>
          <w:sz w:val="19"/>
        </w:rPr>
        <w:t>22. Seemann T. Prokka: rapid prokaryotic genome annotation. Bioinformatics. 2014;30(14):2068-2069. doi:10.1093/bioinformatics/btu153.</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