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LibreOffice/5.4.6.2$Linux_X86_64 LibreOffice_project/40m0$Build-2</Application>
  <Pages>3</Pages>
  <Words>343</Words>
  <Characters>1824</Characters>
  <CharactersWithSpaces>1927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2018-05-28T11:56:57Z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