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sz w:val="22"/>
          <w:szCs w:val="22"/>
        </w:rPr>
        <w:t xml:space="preserve">MACHINE LEARNING ENGINEER</w:t>
      </w:r>
    </w:p>
    <w:p>
      <w:pPr>
        <w:spacing w:after="160"/>
      </w:pPr>
      <w:r>
        <w:rPr>
          <w:rFonts w:ascii="Arial" w:cs="Arial" w:eastAsia="Arial" w:hAnsi="Arial"/>
          <w:b/>
          <w:bCs/>
          <w:sz w:val="22"/>
          <w:szCs w:val="22"/>
        </w:rPr>
        <w:t xml:space="preserve">TRAINING CURRICULUM: MODULE 4</w:t>
      </w:r>
    </w:p>
    <w:p>
      <w:pPr>
        <w:spacing w:after="80"/>
      </w:pPr>
    </w:p>
    <w:p>
      <w:pPr>
        <w:spacing w:after="200"/>
      </w:pPr>
      <w:r>
        <w:rPr>
          <w:rFonts w:ascii="Arial" w:cs="Arial" w:eastAsia="Arial" w:hAnsi="Arial"/>
          <w:b/>
          <w:bCs/>
          <w:color w:val="1F3864"/>
          <w:sz w:val="36"/>
          <w:szCs w:val="36"/>
        </w:rPr>
        <w:t xml:space="preserve">Introduction to GenAI Application Development</w:t>
      </w:r>
    </w:p>
    <w:p>
      <w:pPr>
        <w:spacing w:after="80"/>
      </w:pPr>
    </w:p>
    <w:p>
      <w:pPr>
        <w:spacing w:after="160"/>
      </w:pPr>
      <w:r>
        <w:rPr>
          <w:rFonts w:ascii="Arial" w:cs="Arial" w:eastAsia="Arial" w:hAnsi="Arial"/>
          <w:b/>
          <w:bCs/>
          <w:sz w:val="22"/>
          <w:szCs w:val="22"/>
        </w:rPr>
        <w:t xml:space="preserve">Project-Based Learning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2 Weeks</w:t>
            </w:r>
          </w:p>
        </w:tc>
      </w:tr>
      <w:t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Intermediate</w:t>
            </w:r>
          </w:p>
        </w:tc>
      </w:tr>
      <w:t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Prerequisites</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Module 1 (ML in Python), Module 3 (MLOps with Databricks)</w:t>
            </w:r>
          </w:p>
        </w:tc>
      </w:tr>
      <w:t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Canadian Financial Services - Regulatory &amp; Compliance</w:t>
            </w:r>
          </w:p>
        </w:tc>
      </w:tr>
      <w:t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Capstone</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2"/>
                <w:szCs w:val="22"/>
              </w:rPr>
              <w:t xml:space="preserve">Canadian Bank Annual Report Research Agent: RAG-Powered Financial Document Intelligence System</w:t>
            </w:r>
          </w:p>
        </w:tc>
      </w:tr>
    </w:tbl>
    <w:p>
      <w:r>
        <w:br w:type="page"/>
      </w:r>
    </w:p>
    <w:p>
      <w:pPr>
        <w:pStyle w:val="Heading1"/>
        <w:spacing w:after="200" w:before="360"/>
      </w:pPr>
      <w:r>
        <w:rPr>
          <w:rFonts w:ascii="Arial" w:cs="Arial" w:eastAsia="Arial" w:hAnsi="Arial"/>
          <w:b/>
          <w:bCs/>
          <w:color w:val="1F3864"/>
          <w:sz w:val="32"/>
          <w:szCs w:val="32"/>
        </w:rPr>
        <w:t xml:space="preserve">Financial Knowledge: Canadian Banking Sector</w:t>
      </w:r>
    </w:p>
    <w:p>
      <w:pPr>
        <w:spacing w:after="160"/>
      </w:pPr>
      <w:r>
        <w:rPr>
          <w:rFonts w:ascii="Arial" w:cs="Arial" w:eastAsia="Arial" w:hAnsi="Arial"/>
          <w:sz w:val="22"/>
          <w:szCs w:val="22"/>
        </w:rPr>
        <w:t xml:space="preserve">This section provides the financial domain knowledge you need to complete the capstone project. You do not need prior experience in finance or banking. Read this section before starting the project and refer back to it throughout the module.</w:t>
      </w:r>
    </w:p>
    <w:p>
      <w:pPr>
        <w:pStyle w:val="Heading2"/>
        <w:spacing w:after="160" w:before="280"/>
      </w:pPr>
      <w:r>
        <w:rPr>
          <w:rFonts w:ascii="Arial" w:cs="Arial" w:eastAsia="Arial" w:hAnsi="Arial"/>
          <w:b/>
          <w:bCs/>
          <w:color w:val="1F3864"/>
          <w:sz w:val="28"/>
          <w:szCs w:val="28"/>
        </w:rPr>
        <w:t xml:space="preserve">The Big Five Canadian Banks</w:t>
      </w:r>
    </w:p>
    <w:p>
      <w:pPr>
        <w:spacing w:after="160"/>
      </w:pPr>
      <w:r>
        <w:rPr>
          <w:rFonts w:ascii="Arial" w:cs="Arial" w:eastAsia="Arial" w:hAnsi="Arial"/>
          <w:sz w:val="22"/>
          <w:szCs w:val="22"/>
        </w:rPr>
        <w:t xml:space="preserve">Canada's financial system is dominated by five major banks, commonly referred to as the Big Five. These are the institutions whose public filings you will analyze in your capstone project. Together, they hold approximately $6.8 trillion in total assets and employ over 400,000 people. Unlike the US banking system, which has thousands of banks, Canada's banking sector is highly concentrated, with the Big Five controlling roughly 85% of Canadian banking assets.</w:t>
      </w:r>
    </w:p>
    <w:p>
      <w:pPr>
        <w:spacing w:after="160"/>
      </w:pPr>
      <w:r>
        <w:rPr>
          <w:rFonts w:ascii="Arial" w:cs="Arial" w:eastAsia="Arial" w:hAnsi="Arial"/>
          <w:b/>
          <w:bCs/>
          <w:sz w:val="22"/>
          <w:szCs w:val="22"/>
        </w:rPr>
        <w:t xml:space="preserve">Royal Bank of Canada (RBC): </w:t>
      </w:r>
      <w:r>
        <w:rPr>
          <w:rFonts w:ascii="Arial" w:cs="Arial" w:eastAsia="Arial" w:hAnsi="Arial"/>
          <w:sz w:val="22"/>
          <w:szCs w:val="22"/>
        </w:rPr>
        <w:t xml:space="preserve">Canada's largest bank by market capitalization and total assets ($2.0 trillion). Operates in personal and commercial banking, wealth management, insurance, investor and treasury services, and capital markets. RBC is also a major international player, with significant operations in the United States and over 80 countries.</w:t>
      </w:r>
    </w:p>
    <w:p>
      <w:pPr>
        <w:spacing w:after="160"/>
      </w:pPr>
      <w:r>
        <w:rPr>
          <w:rFonts w:ascii="Arial" w:cs="Arial" w:eastAsia="Arial" w:hAnsi="Arial"/>
          <w:b/>
          <w:bCs/>
          <w:sz w:val="22"/>
          <w:szCs w:val="22"/>
        </w:rPr>
        <w:t xml:space="preserve">Toronto-Dominion Bank (TD): </w:t>
      </w:r>
      <w:r>
        <w:rPr>
          <w:rFonts w:ascii="Arial" w:cs="Arial" w:eastAsia="Arial" w:hAnsi="Arial"/>
          <w:sz w:val="22"/>
          <w:szCs w:val="22"/>
        </w:rPr>
        <w:t xml:space="preserve">The second-largest Canadian bank by assets ($1.9 trillion). TD has a major US retail banking presence through TD Bank, N.A., making it one of the ten largest banks in the United States. Known for its focus on retail banking and customer service.</w:t>
      </w:r>
    </w:p>
    <w:p>
      <w:pPr>
        <w:spacing w:after="160"/>
      </w:pPr>
      <w:r>
        <w:rPr>
          <w:rFonts w:ascii="Arial" w:cs="Arial" w:eastAsia="Arial" w:hAnsi="Arial"/>
          <w:b/>
          <w:bCs/>
          <w:sz w:val="22"/>
          <w:szCs w:val="22"/>
        </w:rPr>
        <w:t xml:space="preserve">Bank of Montreal (BMO): </w:t>
      </w:r>
      <w:r>
        <w:rPr>
          <w:rFonts w:ascii="Arial" w:cs="Arial" w:eastAsia="Arial" w:hAnsi="Arial"/>
          <w:sz w:val="22"/>
          <w:szCs w:val="22"/>
        </w:rPr>
        <w:t xml:space="preserve">Canada's oldest bank, founded in 1817. Total assets of approximately $1.4 trillion. BMO acquired Bank of the West in 2023, significantly expanding its US footprint. Strong in commercial banking and wealth management.</w:t>
      </w:r>
    </w:p>
    <w:p>
      <w:pPr>
        <w:spacing w:after="160"/>
      </w:pPr>
      <w:r>
        <w:rPr>
          <w:rFonts w:ascii="Arial" w:cs="Arial" w:eastAsia="Arial" w:hAnsi="Arial"/>
          <w:b/>
          <w:bCs/>
          <w:sz w:val="22"/>
          <w:szCs w:val="22"/>
        </w:rPr>
        <w:t xml:space="preserve">Bank of Nova Scotia (Scotiabank): </w:t>
      </w:r>
      <w:r>
        <w:rPr>
          <w:rFonts w:ascii="Arial" w:cs="Arial" w:eastAsia="Arial" w:hAnsi="Arial"/>
          <w:sz w:val="22"/>
          <w:szCs w:val="22"/>
        </w:rPr>
        <w:t xml:space="preserve">Total assets of approximately $1.4 trillion. Scotiabank has the most international presence among the Big Five, with significant operations in Latin America and the Caribbean through its International Banking division.</w:t>
      </w:r>
    </w:p>
    <w:p>
      <w:pPr>
        <w:spacing w:after="160"/>
      </w:pPr>
      <w:r>
        <w:rPr>
          <w:rFonts w:ascii="Arial" w:cs="Arial" w:eastAsia="Arial" w:hAnsi="Arial"/>
          <w:b/>
          <w:bCs/>
          <w:sz w:val="22"/>
          <w:szCs w:val="22"/>
        </w:rPr>
        <w:t xml:space="preserve">Canadian Imperial Bank of Commerce (CIBC): </w:t>
      </w:r>
      <w:r>
        <w:rPr>
          <w:rFonts w:ascii="Arial" w:cs="Arial" w:eastAsia="Arial" w:hAnsi="Arial"/>
          <w:sz w:val="22"/>
          <w:szCs w:val="22"/>
        </w:rPr>
        <w:t xml:space="preserve">Total assets of approximately $1.0 trillion. CIBC has a growing US presence through CIBC Bank USA (formerly PrivateBancorp). Focused on personal and business banking, commercial banking, and wealth management.</w:t>
      </w:r>
    </w:p>
    <w:p>
      <w:pPr>
        <w:pStyle w:val="Heading2"/>
        <w:spacing w:after="160" w:before="280"/>
      </w:pPr>
      <w:r>
        <w:rPr>
          <w:rFonts w:ascii="Arial" w:cs="Arial" w:eastAsia="Arial" w:hAnsi="Arial"/>
          <w:b/>
          <w:bCs/>
          <w:color w:val="1F3864"/>
          <w:sz w:val="28"/>
          <w:szCs w:val="28"/>
        </w:rPr>
        <w:t xml:space="preserve">Canadian Financial Regulatory Framework</w:t>
      </w:r>
    </w:p>
    <w:p>
      <w:pPr>
        <w:spacing w:after="160"/>
      </w:pPr>
      <w:r>
        <w:rPr>
          <w:rFonts w:ascii="Arial" w:cs="Arial" w:eastAsia="Arial" w:hAnsi="Arial"/>
          <w:sz w:val="22"/>
          <w:szCs w:val="22"/>
        </w:rPr>
        <w:t xml:space="preserve">Understanding the regulatory environment is essential for building compliance tools. Canadian banks operate under a different regulatory framework than US banks, and your capstone project involves building a system that helps compliance teams navigate these requirements.</w:t>
      </w:r>
    </w:p>
    <w:p>
      <w:pPr>
        <w:spacing w:after="160"/>
      </w:pPr>
      <w:r>
        <w:rPr>
          <w:rFonts w:ascii="Arial" w:cs="Arial" w:eastAsia="Arial" w:hAnsi="Arial"/>
          <w:b/>
          <w:bCs/>
          <w:sz w:val="22"/>
          <w:szCs w:val="22"/>
        </w:rPr>
        <w:t xml:space="preserve">OSFI (Office of the Superintendent of Financial Institutions): </w:t>
      </w:r>
      <w:r>
        <w:rPr>
          <w:rFonts w:ascii="Arial" w:cs="Arial" w:eastAsia="Arial" w:hAnsi="Arial"/>
          <w:sz w:val="22"/>
          <w:szCs w:val="22"/>
        </w:rPr>
        <w:t xml:space="preserve">OSFI is the primary prudential regulator for federally regulated financial institutions in Canada. It supervises banks, insurance companies, and pension plans. OSFI issues guidelines that carry regulatory force. Key guidelines relevant to ML include OSFI Guideline E-23 (Model Risk Management, effective May 2027), which sets expectations for how banks develop, validate, and govern models, including AI/ML models.</w:t>
      </w:r>
    </w:p>
    <w:p>
      <w:pPr>
        <w:spacing w:after="160"/>
      </w:pPr>
      <w:r>
        <w:rPr>
          <w:rFonts w:ascii="Arial" w:cs="Arial" w:eastAsia="Arial" w:hAnsi="Arial"/>
          <w:b/>
          <w:bCs/>
          <w:sz w:val="22"/>
          <w:szCs w:val="22"/>
        </w:rPr>
        <w:t xml:space="preserve">CSA (Canadian Securities Administrators): </w:t>
      </w:r>
      <w:r>
        <w:rPr>
          <w:rFonts w:ascii="Arial" w:cs="Arial" w:eastAsia="Arial" w:hAnsi="Arial"/>
          <w:sz w:val="22"/>
          <w:szCs w:val="22"/>
        </w:rPr>
        <w:t xml:space="preserve">The CSA is an umbrella organization of Canada's 13 provincial and territorial securities regulators. It coordinates securities regulation across jurisdictions and oversees public disclosure requirements for publicly traded companies, including the Big Five banks.</w:t>
      </w:r>
    </w:p>
    <w:p>
      <w:pPr>
        <w:spacing w:after="160"/>
      </w:pPr>
      <w:r>
        <w:rPr>
          <w:rFonts w:ascii="Arial" w:cs="Arial" w:eastAsia="Arial" w:hAnsi="Arial"/>
          <w:b/>
          <w:bCs/>
          <w:sz w:val="22"/>
          <w:szCs w:val="22"/>
        </w:rPr>
        <w:t xml:space="preserve">SEDAR+ (System for Electronic Document Analysis and Retrieval): </w:t>
      </w:r>
      <w:r>
        <w:rPr>
          <w:rFonts w:ascii="Arial" w:cs="Arial" w:eastAsia="Arial" w:hAnsi="Arial"/>
          <w:sz w:val="22"/>
          <w:szCs w:val="22"/>
        </w:rPr>
        <w:t xml:space="preserve">SEDAR+ is Canada's electronic filing system for public company documents, analogous to the SEC's EDGAR system in the United States. All Canadian public companies must file their disclosure documents through SEDAR+. This is the primary data source for your capstone project. SEDAR+ is accessible at www.sedarplus.ca.</w:t>
      </w:r>
    </w:p>
    <w:p>
      <w:pPr>
        <w:spacing w:after="160"/>
      </w:pPr>
      <w:r>
        <w:rPr>
          <w:rFonts w:ascii="Arial" w:cs="Arial" w:eastAsia="Arial" w:hAnsi="Arial"/>
          <w:b/>
          <w:bCs/>
          <w:sz w:val="22"/>
          <w:szCs w:val="22"/>
        </w:rPr>
        <w:t xml:space="preserve">CDIC (Canada Deposit Insurance Corporation): </w:t>
      </w:r>
      <w:r>
        <w:rPr>
          <w:rFonts w:ascii="Arial" w:cs="Arial" w:eastAsia="Arial" w:hAnsi="Arial"/>
          <w:sz w:val="22"/>
          <w:szCs w:val="22"/>
        </w:rPr>
        <w:t xml:space="preserve">CDIC is a federal Crown corporation that provides deposit insurance to protect eligible deposits at member institutions. Similar to the FDIC in the United States.</w:t>
      </w:r>
    </w:p>
    <w:p>
      <w:pPr>
        <w:pStyle w:val="Heading2"/>
        <w:spacing w:after="160" w:before="280"/>
      </w:pPr>
      <w:r>
        <w:rPr>
          <w:rFonts w:ascii="Arial" w:cs="Arial" w:eastAsia="Arial" w:hAnsi="Arial"/>
          <w:b/>
          <w:bCs/>
          <w:color w:val="1F3864"/>
          <w:sz w:val="28"/>
          <w:szCs w:val="28"/>
        </w:rPr>
        <w:t xml:space="preserve">Key Financial Documents for Canadian Banks</w:t>
      </w:r>
    </w:p>
    <w:p>
      <w:pPr>
        <w:spacing w:after="160"/>
      </w:pPr>
      <w:r>
        <w:rPr>
          <w:rFonts w:ascii="Arial" w:cs="Arial" w:eastAsia="Arial" w:hAnsi="Arial"/>
          <w:sz w:val="22"/>
          <w:szCs w:val="22"/>
        </w:rPr>
        <w:t xml:space="preserve">Canadian banks produce several types of public filings that analysts regularly review. Your capstone project focuses on three of these:</w:t>
      </w:r>
    </w:p>
    <w:p>
      <w:pPr>
        <w:spacing w:after="160"/>
      </w:pPr>
      <w:r>
        <w:rPr>
          <w:rFonts w:ascii="Arial" w:cs="Arial" w:eastAsia="Arial" w:hAnsi="Arial"/>
          <w:b/>
          <w:bCs/>
          <w:sz w:val="22"/>
          <w:szCs w:val="22"/>
        </w:rPr>
        <w:t xml:space="preserve">Annual Report: </w:t>
      </w:r>
      <w:r>
        <w:rPr>
          <w:rFonts w:ascii="Arial" w:cs="Arial" w:eastAsia="Arial" w:hAnsi="Arial"/>
          <w:sz w:val="22"/>
          <w:szCs w:val="22"/>
        </w:rPr>
        <w:t xml:space="preserve">The annual report is the most comprehensive public document a bank produces. It typically contains the CEO's message, a description of the business, Management's Discussion and Analysis (MD&amp;A), audited financial statements, and extensive risk disclosure. Canadian bank annual reports are often 200-400 pages long. The MD&amp;A section is the most important for risk analysis, as it discusses the bank's financial condition, results of operations, and risk exposures in management's own words.</w:t>
      </w:r>
    </w:p>
    <w:p>
      <w:pPr>
        <w:spacing w:after="160"/>
      </w:pPr>
      <w:r>
        <w:rPr>
          <w:rFonts w:ascii="Arial" w:cs="Arial" w:eastAsia="Arial" w:hAnsi="Arial"/>
          <w:b/>
          <w:bCs/>
          <w:sz w:val="22"/>
          <w:szCs w:val="22"/>
        </w:rPr>
        <w:t xml:space="preserve">Annual Information Form (AIF): </w:t>
      </w:r>
      <w:r>
        <w:rPr>
          <w:rFonts w:ascii="Arial" w:cs="Arial" w:eastAsia="Arial" w:hAnsi="Arial"/>
          <w:sz w:val="22"/>
          <w:szCs w:val="22"/>
        </w:rPr>
        <w:t xml:space="preserve">The AIF provides a detailed description of the bank's business, operations, risks, and legal structure. It is filed annually with securities regulators and is available on SEDAR+. The AIF is similar to an SEC 10-K filing and contains risk factor disclosures, descriptions of material legal proceedings, and details about the bank's organizational structure.</w:t>
      </w:r>
    </w:p>
    <w:p>
      <w:pPr>
        <w:spacing w:after="160"/>
      </w:pPr>
      <w:r>
        <w:rPr>
          <w:rFonts w:ascii="Arial" w:cs="Arial" w:eastAsia="Arial" w:hAnsi="Arial"/>
          <w:b/>
          <w:bCs/>
          <w:sz w:val="22"/>
          <w:szCs w:val="22"/>
        </w:rPr>
        <w:t xml:space="preserve">Quarterly Reports: </w:t>
      </w:r>
      <w:r>
        <w:rPr>
          <w:rFonts w:ascii="Arial" w:cs="Arial" w:eastAsia="Arial" w:hAnsi="Arial"/>
          <w:sz w:val="22"/>
          <w:szCs w:val="22"/>
        </w:rPr>
        <w:t xml:space="preserve">Canadian banks report financial results quarterly. These reports include interim MD&amp;A and unaudited financial statements. They are shorter than annual reports but contain updated risk disclosures and performance metrics. Canadian banks have fiscal years ending October 31 (RBC, TD, BMO, Scotiabank, CIBC), which differs from the calendar year used by most US banks.</w:t>
      </w:r>
    </w:p>
    <w:p>
      <w:pPr>
        <w:pStyle w:val="Heading2"/>
        <w:spacing w:after="160" w:before="280"/>
      </w:pPr>
      <w:r>
        <w:rPr>
          <w:rFonts w:ascii="Arial" w:cs="Arial" w:eastAsia="Arial" w:hAnsi="Arial"/>
          <w:b/>
          <w:bCs/>
          <w:color w:val="1F3864"/>
          <w:sz w:val="28"/>
          <w:szCs w:val="28"/>
        </w:rPr>
        <w:t xml:space="preserve">Key Risk Categories in Canadian Banking</w:t>
      </w:r>
    </w:p>
    <w:p>
      <w:pPr>
        <w:spacing w:after="160"/>
      </w:pPr>
      <w:r>
        <w:rPr>
          <w:rFonts w:ascii="Arial" w:cs="Arial" w:eastAsia="Arial" w:hAnsi="Arial"/>
          <w:sz w:val="22"/>
          <w:szCs w:val="22"/>
        </w:rPr>
        <w:t xml:space="preserve">When analyzing bank filings, you will encounter several standard risk categories. Understanding these is essential for building prompts and evaluation rubrics for your RAG system:</w:t>
      </w:r>
    </w:p>
    <w:p>
      <w:pPr>
        <w:spacing w:after="160"/>
      </w:pPr>
      <w:r>
        <w:rPr>
          <w:rFonts w:ascii="Arial" w:cs="Arial" w:eastAsia="Arial" w:hAnsi="Arial"/>
          <w:b/>
          <w:bCs/>
          <w:sz w:val="22"/>
          <w:szCs w:val="22"/>
        </w:rPr>
        <w:t xml:space="preserve">Credit Risk: </w:t>
      </w:r>
      <w:r>
        <w:rPr>
          <w:rFonts w:ascii="Arial" w:cs="Arial" w:eastAsia="Arial" w:hAnsi="Arial"/>
          <w:sz w:val="22"/>
          <w:szCs w:val="22"/>
        </w:rPr>
        <w:t xml:space="preserve">The risk of financial loss if a borrower or counterparty fails to meet its obligations. For Canadian banks, this includes residential mortgages (the largest single exposure category, given Canada's housing market), commercial loans, credit cards, and trading counterparty exposure. Key metrics include the Provision for Credit Losses (PCL), Gross Impaired Loans, and the Allowance for Credit Losses (ACL).</w:t>
      </w:r>
    </w:p>
    <w:p>
      <w:pPr>
        <w:spacing w:after="160"/>
      </w:pPr>
      <w:r>
        <w:rPr>
          <w:rFonts w:ascii="Arial" w:cs="Arial" w:eastAsia="Arial" w:hAnsi="Arial"/>
          <w:b/>
          <w:bCs/>
          <w:sz w:val="22"/>
          <w:szCs w:val="22"/>
        </w:rPr>
        <w:t xml:space="preserve">Market Risk: </w:t>
      </w:r>
      <w:r>
        <w:rPr>
          <w:rFonts w:ascii="Arial" w:cs="Arial" w:eastAsia="Arial" w:hAnsi="Arial"/>
          <w:sz w:val="22"/>
          <w:szCs w:val="22"/>
        </w:rPr>
        <w:t xml:space="preserve">The risk of loss from changes in market prices, including interest rates, foreign exchange rates, equity prices, and commodity prices. Canadian banks report Value-at-Risk (VaR) and Stressed VaR. Interest rate risk is particularly important because Canadian residential mortgages typically have 5-year terms (unlike 30-year fixed-rate mortgages in the US), creating regular repricing events.</w:t>
      </w:r>
    </w:p>
    <w:p>
      <w:pPr>
        <w:spacing w:after="160"/>
      </w:pPr>
      <w:r>
        <w:rPr>
          <w:rFonts w:ascii="Arial" w:cs="Arial" w:eastAsia="Arial" w:hAnsi="Arial"/>
          <w:b/>
          <w:bCs/>
          <w:sz w:val="22"/>
          <w:szCs w:val="22"/>
        </w:rPr>
        <w:t xml:space="preserve">Operational Risk: </w:t>
      </w:r>
      <w:r>
        <w:rPr>
          <w:rFonts w:ascii="Arial" w:cs="Arial" w:eastAsia="Arial" w:hAnsi="Arial"/>
          <w:sz w:val="22"/>
          <w:szCs w:val="22"/>
        </w:rPr>
        <w:t xml:space="preserve">The risk of loss from inadequate or failed internal processes, people, systems, or external events. This includes cybersecurity risk, technology failures, fraud, and third-party vendor risk. OSFI Guideline E-21 (Operational Risk Management) sets expectations for how banks manage operational risk.</w:t>
      </w:r>
    </w:p>
    <w:p>
      <w:pPr>
        <w:spacing w:after="160"/>
      </w:pPr>
      <w:r>
        <w:rPr>
          <w:rFonts w:ascii="Arial" w:cs="Arial" w:eastAsia="Arial" w:hAnsi="Arial"/>
          <w:b/>
          <w:bCs/>
          <w:sz w:val="22"/>
          <w:szCs w:val="22"/>
        </w:rPr>
        <w:t xml:space="preserve">Liquidity Risk: </w:t>
      </w:r>
      <w:r>
        <w:rPr>
          <w:rFonts w:ascii="Arial" w:cs="Arial" w:eastAsia="Arial" w:hAnsi="Arial"/>
          <w:sz w:val="22"/>
          <w:szCs w:val="22"/>
        </w:rPr>
        <w:t xml:space="preserve">The risk that a bank cannot meet its financial obligations as they come due. Canadian banks report the Liquidity Coverage Ratio (LCR) and Net Stable Funding Ratio (NSFR) as mandated by Basel III. OSFI's Liquidity Adequacy Requirements (LAR) guideline governs liquidity management.</w:t>
      </w:r>
    </w:p>
    <w:p>
      <w:pPr>
        <w:spacing w:after="160"/>
      </w:pPr>
      <w:r>
        <w:rPr>
          <w:rFonts w:ascii="Arial" w:cs="Arial" w:eastAsia="Arial" w:hAnsi="Arial"/>
          <w:b/>
          <w:bCs/>
          <w:sz w:val="22"/>
          <w:szCs w:val="22"/>
        </w:rPr>
        <w:t xml:space="preserve">Climate Risk: </w:t>
      </w:r>
      <w:r>
        <w:rPr>
          <w:rFonts w:ascii="Arial" w:cs="Arial" w:eastAsia="Arial" w:hAnsi="Arial"/>
          <w:sz w:val="22"/>
          <w:szCs w:val="22"/>
        </w:rPr>
        <w:t xml:space="preserve">An emerging risk category becoming increasingly prominent in Canadian bank disclosures. OSFI issued Guideline B-15 (Climate Risk Management) in 2023, requiring federally regulated financial institutions to manage climate-related risks. Canadian banks now include dedicated climate risk sections covering both physical risk (damage from extreme weather) and transition risk (financial impacts from the shift to a low-carbon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Financial Domain Knowledge for ML Engineers</w:t>
            </w:r>
          </w:p>
          <w:p>
            <w:pPr>
              <w:spacing w:after="80"/>
            </w:pPr>
            <w:r>
              <w:rPr>
                <w:rFonts w:ascii="Arial" w:cs="Arial" w:eastAsia="Arial" w:hAnsi="Arial"/>
                <w:sz w:val="20"/>
                <w:szCs w:val="20"/>
              </w:rPr>
              <w:t xml:space="preserve">You do not need to become a financial expert, but you must understand enough to build meaningful prompts, evaluate system outputs, and communicate with stakeholders.</w:t>
            </w:r>
          </w:p>
          <w:p>
            <w:pPr>
              <w:spacing w:after="80"/>
            </w:pPr>
            <w:r>
              <w:rPr>
                <w:rFonts w:ascii="Arial" w:cs="Arial" w:eastAsia="Arial" w:hAnsi="Arial"/>
                <w:sz w:val="20"/>
                <w:szCs w:val="20"/>
              </w:rPr>
              <w:t xml:space="preserve">When reading bank filings, start with the MD&amp;A section. It is written in plain English (relative to the rest of the filing) and provides management's narrative about the bank's performance and risks.</w:t>
            </w:r>
          </w:p>
          <w:p>
            <w:pPr>
              <w:spacing w:after="80"/>
            </w:pPr>
            <w:r>
              <w:rPr>
                <w:rFonts w:ascii="Arial" w:cs="Arial" w:eastAsia="Arial" w:hAnsi="Arial"/>
                <w:sz w:val="20"/>
                <w:szCs w:val="20"/>
              </w:rPr>
              <w:t xml:space="preserve">Pay attention to language changes between periods. When a bank changes its description of a risk from 'moderate' to 'elevated,' that is a significant signal even though the underlying numbers may not have changed dramatically.</w:t>
            </w:r>
          </w:p>
          <w:p>
            <w:pPr>
              <w:spacing w:after="80"/>
            </w:pPr>
            <w:r>
              <w:rPr>
                <w:rFonts w:ascii="Arial" w:cs="Arial" w:eastAsia="Arial" w:hAnsi="Arial"/>
                <w:sz w:val="20"/>
                <w:szCs w:val="20"/>
              </w:rPr>
              <w:t xml:space="preserve">Canadian bank fiscal years end October 31, not December 31. When comparing a Canadian bank's Q4 results to a US bank's Q4, you are comparing different calendar periods.</w:t>
            </w:r>
          </w:p>
          <w:p>
            <w:pPr>
              <w:spacing w:after="80"/>
            </w:pPr>
            <w:r>
              <w:rPr>
                <w:rFonts w:ascii="Arial" w:cs="Arial" w:eastAsia="Arial" w:hAnsi="Arial"/>
                <w:sz w:val="20"/>
                <w:szCs w:val="20"/>
              </w:rPr>
              <w:t xml:space="preserve">The terms 'provision for credit losses' (PCL) and 'allowance for credit losses' (ACL) are not interchangeable. PCL is the expense recognized in the income statement for the period. ACL is the cumulative balance on the balance sheet.</w:t>
            </w:r>
          </w:p>
        </w:tc>
      </w:tr>
    </w:tbl>
    <w:p>
      <w:r>
        <w:br w:type="page"/>
      </w:r>
    </w:p>
    <w:p>
      <w:pPr>
        <w:pStyle w:val="Heading1"/>
        <w:spacing w:after="200" w:before="360"/>
      </w:pPr>
      <w:r>
        <w:rPr>
          <w:rFonts w:ascii="Arial" w:cs="Arial" w:eastAsia="Arial" w:hAnsi="Arial"/>
          <w:b/>
          <w:bCs/>
          <w:color w:val="1F3864"/>
          <w:sz w:val="32"/>
          <w:szCs w:val="32"/>
        </w:rPr>
        <w:t xml:space="preserve">Project Kick-off: Canadian Bank Annual Report Research Agent</w:t>
      </w:r>
    </w:p>
    <w:p>
      <w:pPr>
        <w:spacing w:after="160"/>
      </w:pPr>
      <w:r>
        <w:rPr>
          <w:rFonts w:ascii="Arial" w:cs="Arial" w:eastAsia="Arial" w:hAnsi="Arial"/>
          <w:sz w:val="22"/>
          <w:szCs w:val="22"/>
        </w:rPr>
        <w:t xml:space="preserve">Before diving into the learning material, here is the project you will build over the next two weeks. Every topic in this module teaches a skill that you will immediately apply to this project. By Day 10, you will present a complete GenAI-powered financial research system to a simulated compliance review board, demonstrating how retrieval-augmented generation can transform how analysts interact with regulatory filings.</w:t>
      </w:r>
    </w:p>
    <w:p>
      <w:pPr>
        <w:pStyle w:val="Heading2"/>
        <w:spacing w:after="160" w:before="280"/>
      </w:pPr>
      <w:r>
        <w:rPr>
          <w:rFonts w:ascii="Arial" w:cs="Arial" w:eastAsia="Arial" w:hAnsi="Arial"/>
          <w:b/>
          <w:bCs/>
          <w:color w:val="1F3864"/>
          <w:sz w:val="28"/>
          <w:szCs w:val="28"/>
        </w:rPr>
        <w:t xml:space="preserve">The Business Problem</w:t>
      </w:r>
    </w:p>
    <w:p>
      <w:pPr>
        <w:spacing w:after="160"/>
      </w:pPr>
      <w:r>
        <w:rPr>
          <w:rFonts w:ascii="Arial" w:cs="Arial" w:eastAsia="Arial" w:hAnsi="Arial"/>
          <w:sz w:val="22"/>
          <w:szCs w:val="22"/>
        </w:rPr>
        <w:t xml:space="preserve">You are a junior AI developer at Jarvis Compliance Analytics, a fintech subsidiary of a mid-sized Canadian bank. The Regulatory Affairs team currently employs 12 analysts who manually review annual reports, AIFs, and quarterly filings from the Big Five Canadian banks. Each quarter, these analysts must read through hundreds of pages of dense financial disclosures to identify material risk factors, track changes in risk language across quarters, and produce compliance summaries for senior management.</w:t>
      </w:r>
    </w:p>
    <w:p>
      <w:pPr>
        <w:spacing w:after="160"/>
      </w:pPr>
      <w:r>
        <w:rPr>
          <w:rFonts w:ascii="Arial" w:cs="Arial" w:eastAsia="Arial" w:hAnsi="Arial"/>
          <w:sz w:val="22"/>
          <w:szCs w:val="22"/>
        </w:rPr>
        <w:t xml:space="preserve">The process is slow (each annual report takes 4-6 hours to review), error-prone (analysts miss subtle language changes between quarterly filings), and expensive (the team costs $1.8M annually in salary alone). The Chief Compliance Officer (CCO) has asked your team to investigate whether a GenAI system can accelerate this workflow. Specifically, she wants to know: (1) Can an LLM-powered system accurately answer analyst questions about specific bank filings? (2) Can it identify and summarize changes in risk language between periods? (3) Is the system reliable enough to serve as a first-pass review tool, reducing analyst review time by at least 50%?</w:t>
      </w:r>
    </w:p>
    <w:p>
      <w:pPr>
        <w:spacing w:after="160"/>
      </w:pPr>
      <w:r>
        <w:rPr>
          <w:rFonts w:ascii="Arial" w:cs="Arial" w:eastAsia="Arial" w:hAnsi="Arial"/>
          <w:sz w:val="22"/>
          <w:szCs w:val="22"/>
        </w:rPr>
        <w:t xml:space="preserve">Your job is to build a retrieval-augmented generation (RAG) system, extend it with agentic capabilities for cross-document comparison, evaluate its accuracy rigorously, and deliver a clear recommendation: deploy the system, iterate further, or abandon the approach. The CCO and the Head of Technology will review your findings in a 15-minute presentation on Day 10.</w:t>
      </w:r>
    </w:p>
    <w:p>
      <w:pPr>
        <w:pStyle w:val="Heading2"/>
        <w:spacing w:after="160" w:before="280"/>
      </w:pPr>
      <w:r>
        <w:rPr>
          <w:rFonts w:ascii="Arial" w:cs="Arial" w:eastAsia="Arial" w:hAnsi="Arial"/>
          <w:b/>
          <w:bCs/>
          <w:color w:val="1F3864"/>
          <w:sz w:val="28"/>
          <w:szCs w:val="28"/>
        </w:rPr>
        <w:t xml:space="preserve">Your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AEEF3" w:val="clear"/>
            <w:tcMar>
              <w:top w:type="dxa" w:w="160"/>
              <w:left w:type="dxa" w:w="200"/>
              <w:bottom w:type="dxa" w:w="160"/>
              <w:right w:type="dxa" w:w="200"/>
            </w:tcMar>
          </w:tcPr>
          <w:p>
            <w:pPr>
              <w:spacing w:after="120"/>
            </w:pPr>
            <w:r>
              <w:rPr>
                <w:rFonts w:ascii="Arial" w:cs="Arial" w:eastAsia="Arial" w:hAnsi="Arial"/>
                <w:b/>
                <w:bCs/>
                <w:sz w:val="22"/>
                <w:szCs w:val="22"/>
              </w:rPr>
              <w:t xml:space="preserve">ℹ️ Who You Are Presenting To</w:t>
            </w:r>
          </w:p>
          <w:p>
            <w:pPr>
              <w:spacing w:after="80"/>
            </w:pPr>
            <w:r>
              <w:rPr>
                <w:rFonts w:ascii="Arial" w:cs="Arial" w:eastAsia="Arial" w:hAnsi="Arial"/>
                <w:sz w:val="20"/>
                <w:szCs w:val="20"/>
              </w:rPr>
              <w:t xml:space="preserve">CCO - Cares about: accuracy of risk identification, regulatory compliance alignment (OSFI E-23), whether the system reduces analyst review time. Asks: 'Can I trust this system to not miss a material risk factor?'</w:t>
            </w:r>
          </w:p>
          <w:p>
            <w:pPr>
              <w:spacing w:after="80"/>
            </w:pPr>
            <w:r>
              <w:rPr>
                <w:rFonts w:ascii="Arial" w:cs="Arial" w:eastAsia="Arial" w:hAnsi="Arial"/>
                <w:sz w:val="20"/>
                <w:szCs w:val="20"/>
              </w:rPr>
              <w:t xml:space="preserve">Head of Technology - Cares about: infrastructure cost, latency, security of financial data, integration with existing systems. Asks: 'What does this cost to run per query and can we deploy it on-premises?'</w:t>
            </w:r>
          </w:p>
          <w:p>
            <w:pPr>
              <w:spacing w:after="80"/>
            </w:pPr>
            <w:r>
              <w:rPr>
                <w:rFonts w:ascii="Arial" w:cs="Arial" w:eastAsia="Arial" w:hAnsi="Arial"/>
                <w:sz w:val="20"/>
                <w:szCs w:val="20"/>
              </w:rPr>
              <w:t xml:space="preserve">Lead Compliance Analyst - Cares about: ease of use, quality of citations, ability to compare filings across quarters. Asks: 'Does this actually make my job easier or just create more work?'</w:t>
            </w:r>
          </w:p>
          <w:p>
            <w:pPr>
              <w:spacing w:after="80"/>
            </w:pPr>
            <w:r>
              <w:rPr>
                <w:rFonts w:ascii="Arial" w:cs="Arial" w:eastAsia="Arial" w:hAnsi="Arial"/>
                <w:sz w:val="20"/>
                <w:szCs w:val="20"/>
              </w:rPr>
              <w:t xml:space="preserve">Your presentation must satisfy ALL three audiences. Lead with accuracy and compliance (for CCO), cover cost and architecture (for Head of Technology), and show usability (for Lead Analyst).</w:t>
            </w:r>
          </w:p>
        </w:tc>
      </w:tr>
    </w:tbl>
    <w:p>
      <w:pPr>
        <w:pStyle w:val="Heading2"/>
        <w:spacing w:after="160" w:before="280"/>
      </w:pPr>
      <w:r>
        <w:rPr>
          <w:rFonts w:ascii="Arial" w:cs="Arial" w:eastAsia="Arial" w:hAnsi="Arial"/>
          <w:b/>
          <w:bCs/>
          <w:color w:val="1F3864"/>
          <w:sz w:val="28"/>
          <w:szCs w:val="28"/>
        </w:rPr>
        <w:t xml:space="preserve">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AEEF3" w:val="clear"/>
            <w:tcMar>
              <w:top w:type="dxa" w:w="160"/>
              <w:left w:type="dxa" w:w="200"/>
              <w:bottom w:type="dxa" w:w="160"/>
              <w:right w:type="dxa" w:w="200"/>
            </w:tcMar>
          </w:tcPr>
          <w:p>
            <w:pPr>
              <w:spacing w:after="120"/>
            </w:pPr>
            <w:r>
              <w:rPr>
                <w:rFonts w:ascii="Arial" w:cs="Arial" w:eastAsia="Arial" w:hAnsi="Arial"/>
                <w:b/>
                <w:bCs/>
                <w:sz w:val="22"/>
                <w:szCs w:val="22"/>
              </w:rPr>
              <w:t xml:space="preserve">ℹ️ Canadian Bank Annual Report Dataset</w:t>
            </w:r>
          </w:p>
          <w:p>
            <w:pPr>
              <w:spacing w:after="80"/>
            </w:pPr>
            <w:r>
              <w:rPr>
                <w:rFonts w:ascii="Arial" w:cs="Arial" w:eastAsia="Arial" w:hAnsi="Arial"/>
                <w:sz w:val="20"/>
                <w:szCs w:val="20"/>
              </w:rPr>
              <w:t xml:space="preserve">Source: SEDAR+ (www.sedarplus.ca) and bank investor relations websites</w:t>
            </w:r>
          </w:p>
          <w:p>
            <w:pPr>
              <w:spacing w:after="80"/>
            </w:pPr>
            <w:r>
              <w:rPr>
                <w:rFonts w:ascii="Arial" w:cs="Arial" w:eastAsia="Arial" w:hAnsi="Arial"/>
                <w:sz w:val="20"/>
                <w:szCs w:val="20"/>
              </w:rPr>
              <w:t xml:space="preserve">Download: Use demos/01_download_filings.py to fetch from SEDAR+ or download directly from bank websites</w:t>
            </w:r>
          </w:p>
          <w:p>
            <w:pPr>
              <w:spacing w:after="80"/>
            </w:pPr>
            <w:r>
              <w:rPr>
                <w:rFonts w:ascii="Arial" w:cs="Arial" w:eastAsia="Arial" w:hAnsi="Arial"/>
                <w:sz w:val="20"/>
                <w:szCs w:val="20"/>
              </w:rPr>
              <w:t xml:space="preserve">Scope: Annual reports, AIFs, and quarterly reports from 5 Canadian banks (RBC, TD, BMO, Scotiabank, CIBC)</w:t>
            </w:r>
          </w:p>
          <w:p>
            <w:pPr>
              <w:spacing w:after="80"/>
            </w:pPr>
            <w:r>
              <w:rPr>
                <w:rFonts w:ascii="Arial" w:cs="Arial" w:eastAsia="Arial" w:hAnsi="Arial"/>
                <w:sz w:val="20"/>
                <w:szCs w:val="20"/>
              </w:rPr>
              <w:t xml:space="preserve">Period: Most recent 2 fiscal years (annual reports + Q1-Q4 quarterly reports)</w:t>
            </w:r>
          </w:p>
          <w:p>
            <w:pPr>
              <w:spacing w:after="80"/>
            </w:pPr>
            <w:r>
              <w:rPr>
                <w:rFonts w:ascii="Arial" w:cs="Arial" w:eastAsia="Arial" w:hAnsi="Arial"/>
                <w:sz w:val="20"/>
                <w:szCs w:val="20"/>
              </w:rPr>
              <w:t xml:space="preserve">Size: Approximately 2,000-4,000 pages of text across all filings</w:t>
            </w:r>
          </w:p>
          <w:p>
            <w:pPr>
              <w:spacing w:after="80"/>
            </w:pPr>
            <w:r>
              <w:rPr>
                <w:rFonts w:ascii="Arial" w:cs="Arial" w:eastAsia="Arial" w:hAnsi="Arial"/>
                <w:sz w:val="20"/>
                <w:szCs w:val="20"/>
              </w:rPr>
              <w:t xml:space="preserve">Key sections: MD&amp;A, Risk Management, Financial Statements notes, Risk Factor disclosures</w:t>
            </w:r>
          </w:p>
          <w:p>
            <w:pPr>
              <w:spacing w:after="80"/>
            </w:pPr>
            <w:r>
              <w:rPr>
                <w:rFonts w:ascii="Arial" w:cs="Arial" w:eastAsia="Arial" w:hAnsi="Arial"/>
                <w:sz w:val="20"/>
                <w:szCs w:val="20"/>
              </w:rPr>
              <w:t xml:space="preserve">Real-world challenges: PDF-heavy filings, inconsistent formatting across banks, variable section naming conventions, bilingual content (some filings include French sections)</w:t>
            </w:r>
          </w:p>
        </w:tc>
      </w:tr>
    </w:tbl>
    <w:p>
      <w:pPr>
        <w:pStyle w:val="Heading2"/>
        <w:spacing w:after="160" w:before="280"/>
      </w:pPr>
      <w:r>
        <w:rPr>
          <w:rFonts w:ascii="Arial" w:cs="Arial" w:eastAsia="Arial" w:hAnsi="Arial"/>
          <w:b/>
          <w:bCs/>
          <w:color w:val="1F3864"/>
          <w:sz w:val="28"/>
          <w:szCs w:val="28"/>
        </w:rPr>
        <w:t xml:space="preserve">What You Will Deliver</w:t>
      </w:r>
    </w:p>
    <w:p>
      <w:pPr>
        <w:spacing w:after="160"/>
      </w:pPr>
      <w:r>
        <w:rPr>
          <w:rFonts w:ascii="Arial" w:cs="Arial" w:eastAsia="Arial" w:hAnsi="Arial"/>
          <w:sz w:val="22"/>
          <w:szCs w:val="22"/>
        </w:rPr>
        <w:t xml:space="preserve">This project has three categories of deliverables: a code repository (the technical work), written reports (the business analysis), and a live presentation (the stakeholder communication). All three are required.</w:t>
      </w:r>
    </w:p>
    <w:p>
      <w:pPr>
        <w:spacing w:after="160"/>
      </w:pPr>
      <w:r>
        <w:rPr>
          <w:rFonts w:ascii="Arial" w:cs="Arial" w:eastAsia="Arial" w:hAnsi="Arial"/>
          <w:b/>
          <w:bCs/>
          <w:sz w:val="22"/>
          <w:szCs w:val="22"/>
        </w:rPr>
        <w:t xml:space="preserve">Deliverable 1: Code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AEEF3" w:val="clear"/>
            <w:tcMar>
              <w:top w:type="dxa" w:w="160"/>
              <w:left w:type="dxa" w:w="200"/>
              <w:bottom w:type="dxa" w:w="160"/>
              <w:right w:type="dxa" w:w="200"/>
            </w:tcMar>
          </w:tcPr>
          <w:p>
            <w:pPr>
              <w:spacing w:after="120"/>
            </w:pPr>
            <w:r>
              <w:rPr>
                <w:rFonts w:ascii="Arial" w:cs="Arial" w:eastAsia="Arial" w:hAnsi="Arial"/>
                <w:b/>
                <w:bCs/>
                <w:sz w:val="22"/>
                <w:szCs w:val="22"/>
              </w:rPr>
              <w:t xml:space="preserve">ℹ️ Required Project Structure</w:t>
            </w:r>
          </w:p>
          <w:p>
            <w:pPr>
              <w:spacing w:after="80"/>
            </w:pPr>
            <w:r>
              <w:rPr>
                <w:rFonts w:ascii="Arial" w:cs="Arial" w:eastAsia="Arial" w:hAnsi="Arial"/>
                <w:sz w:val="20"/>
                <w:szCs w:val="20"/>
              </w:rPr>
              <w:t xml:space="preserve">capstone/</w:t>
            </w:r>
          </w:p>
          <w:p>
            <w:pPr>
              <w:spacing w:after="80"/>
            </w:pPr>
            <w:r>
              <w:rPr>
                <w:rFonts w:ascii="Arial" w:cs="Arial" w:eastAsia="Arial" w:hAnsi="Arial"/>
                <w:sz w:val="20"/>
                <w:szCs w:val="20"/>
              </w:rPr>
              <w:t xml:space="preserve">  data/              &lt;- Raw and processed filing text</w:t>
            </w:r>
          </w:p>
          <w:p>
            <w:pPr>
              <w:spacing w:after="80"/>
            </w:pPr>
            <w:r>
              <w:rPr>
                <w:rFonts w:ascii="Arial" w:cs="Arial" w:eastAsia="Arial" w:hAnsi="Arial"/>
                <w:sz w:val="20"/>
                <w:szCs w:val="20"/>
              </w:rPr>
              <w:t xml:space="preserve">  demos/             &lt;- Instructor demo scripts (provided)</w:t>
            </w:r>
          </w:p>
          <w:p>
            <w:pPr>
              <w:spacing w:after="80"/>
            </w:pPr>
            <w:r>
              <w:rPr>
                <w:rFonts w:ascii="Arial" w:cs="Arial" w:eastAsia="Arial" w:hAnsi="Arial"/>
                <w:sz w:val="20"/>
                <w:szCs w:val="20"/>
              </w:rPr>
              <w:t xml:space="preserve">  notebooks/</w:t>
            </w:r>
          </w:p>
          <w:p>
            <w:pPr>
              <w:spacing w:after="80"/>
            </w:pPr>
            <w:r>
              <w:rPr>
                <w:rFonts w:ascii="Arial" w:cs="Arial" w:eastAsia="Arial" w:hAnsi="Arial"/>
                <w:sz w:val="20"/>
                <w:szCs w:val="20"/>
              </w:rPr>
              <w:t xml:space="preserve">    01_data_ingestion.ipynb     &lt;- Filing download, parsing, chunking</w:t>
            </w:r>
          </w:p>
          <w:p>
            <w:pPr>
              <w:spacing w:after="80"/>
            </w:pPr>
            <w:r>
              <w:rPr>
                <w:rFonts w:ascii="Arial" w:cs="Arial" w:eastAsia="Arial" w:hAnsi="Arial"/>
                <w:sz w:val="20"/>
                <w:szCs w:val="20"/>
              </w:rPr>
              <w:t xml:space="preserve">    02_embedding_vectordb.ipynb  &lt;- Embedding generation and ChromaDB setup</w:t>
            </w:r>
          </w:p>
          <w:p>
            <w:pPr>
              <w:spacing w:after="80"/>
            </w:pPr>
            <w:r>
              <w:rPr>
                <w:rFonts w:ascii="Arial" w:cs="Arial" w:eastAsia="Arial" w:hAnsi="Arial"/>
                <w:sz w:val="20"/>
                <w:szCs w:val="20"/>
              </w:rPr>
              <w:t xml:space="preserve">    03_rag_pipeline.ipynb        &lt;- Basic RAG with prompt engineering</w:t>
            </w:r>
          </w:p>
          <w:p>
            <w:pPr>
              <w:spacing w:after="80"/>
            </w:pPr>
            <w:r>
              <w:rPr>
                <w:rFonts w:ascii="Arial" w:cs="Arial" w:eastAsia="Arial" w:hAnsi="Arial"/>
                <w:sz w:val="20"/>
                <w:szCs w:val="20"/>
              </w:rPr>
              <w:t xml:space="preserve">    04_prompt_optimization.ipynb  &lt;- Advanced prompting and output structuring</w:t>
            </w:r>
          </w:p>
          <w:p>
            <w:pPr>
              <w:spacing w:after="80"/>
            </w:pPr>
            <w:r>
              <w:rPr>
                <w:rFonts w:ascii="Arial" w:cs="Arial" w:eastAsia="Arial" w:hAnsi="Arial"/>
                <w:sz w:val="20"/>
                <w:szCs w:val="20"/>
              </w:rPr>
              <w:t xml:space="preserve">    05_agentic_workflow.ipynb     &lt;- Tool calling and multi-step agent</w:t>
            </w:r>
          </w:p>
          <w:p>
            <w:pPr>
              <w:spacing w:after="80"/>
            </w:pPr>
            <w:r>
              <w:rPr>
                <w:rFonts w:ascii="Arial" w:cs="Arial" w:eastAsia="Arial" w:hAnsi="Arial"/>
                <w:sz w:val="20"/>
                <w:szCs w:val="20"/>
              </w:rPr>
              <w:t xml:space="preserve">    06_evaluation.ipynb          &lt;- LLM-as-judge and comprehensive metrics</w:t>
            </w:r>
          </w:p>
          <w:p>
            <w:pPr>
              <w:spacing w:after="80"/>
            </w:pPr>
            <w:r>
              <w:rPr>
                <w:rFonts w:ascii="Arial" w:cs="Arial" w:eastAsia="Arial" w:hAnsi="Arial"/>
                <w:sz w:val="20"/>
                <w:szCs w:val="20"/>
              </w:rPr>
              <w:t xml:space="preserve">  src/               &lt;- Reusable Python functions and pipeline code</w:t>
            </w:r>
          </w:p>
          <w:p>
            <w:pPr>
              <w:spacing w:after="80"/>
            </w:pPr>
            <w:r>
              <w:rPr>
                <w:rFonts w:ascii="Arial" w:cs="Arial" w:eastAsia="Arial" w:hAnsi="Arial"/>
                <w:sz w:val="20"/>
                <w:szCs w:val="20"/>
              </w:rPr>
              <w:t xml:space="preserve">  models/            &lt;- Saved embeddings, vector store, configuration files</w:t>
            </w:r>
          </w:p>
          <w:p>
            <w:pPr>
              <w:spacing w:after="80"/>
            </w:pPr>
            <w:r>
              <w:rPr>
                <w:rFonts w:ascii="Arial" w:cs="Arial" w:eastAsia="Arial" w:hAnsi="Arial"/>
                <w:sz w:val="20"/>
                <w:szCs w:val="20"/>
              </w:rPr>
              <w:t xml:space="preserve">  reports/           &lt;- Written deliverables (see below)</w:t>
            </w:r>
          </w:p>
          <w:p>
            <w:pPr>
              <w:spacing w:after="80"/>
            </w:pPr>
            <w:r>
              <w:rPr>
                <w:rFonts w:ascii="Arial" w:cs="Arial" w:eastAsia="Arial" w:hAnsi="Arial"/>
                <w:sz w:val="20"/>
                <w:szCs w:val="20"/>
              </w:rPr>
              <w:t xml:space="preserve">  README.md          &lt;- How to reproduce your results end-to-end</w:t>
            </w:r>
          </w:p>
        </w:tc>
      </w:tr>
    </w:tbl>
    <w:p>
      <w:pPr>
        <w:spacing w:after="160"/>
      </w:pPr>
      <w:r>
        <w:rPr>
          <w:rFonts w:ascii="Arial" w:cs="Arial" w:eastAsia="Arial" w:hAnsi="Arial"/>
          <w:b/>
          <w:bCs/>
          <w:sz w:val="22"/>
          <w:szCs w:val="22"/>
        </w:rPr>
        <w:t xml:space="preserve">Deliverable 2: Written Reports</w:t>
      </w:r>
    </w:p>
    <w:p>
      <w:pPr>
        <w:spacing w:after="160"/>
      </w:pPr>
      <w:r>
        <w:rPr>
          <w:rFonts w:ascii="Arial" w:cs="Arial" w:eastAsia="Arial" w:hAnsi="Arial"/>
          <w:sz w:val="22"/>
          <w:szCs w:val="22"/>
        </w:rPr>
        <w:t xml:space="preserve">All written reports go in the reports/ folder:</w:t>
      </w:r>
    </w:p>
    <w:p>
      <w:pPr>
        <w:spacing w:after="160"/>
      </w:pPr>
      <w:r>
        <w:rPr>
          <w:rFonts w:ascii="Arial" w:cs="Arial" w:eastAsia="Arial" w:hAnsi="Arial"/>
          <w:b/>
          <w:bCs/>
          <w:sz w:val="22"/>
          <w:szCs w:val="22"/>
        </w:rPr>
        <w:t xml:space="preserve">executive_summary.md</w:t>
      </w:r>
      <w:r>
        <w:rPr>
          <w:rFonts w:ascii="Arial" w:cs="Arial" w:eastAsia="Arial" w:hAnsi="Arial"/>
          <w:sz w:val="22"/>
          <w:szCs w:val="22"/>
        </w:rPr>
        <w:t xml:space="preserve"> - A 1-page non-technical summary for the CCO. Includes: system description, accuracy metrics, cost analysis, risk assessment, and your recommendation (deploy / iterate / abandon). Written in plain business English with no jargon.</w:t>
      </w:r>
    </w:p>
    <w:p>
      <w:pPr>
        <w:spacing w:after="160"/>
      </w:pPr>
      <w:r>
        <w:rPr>
          <w:rFonts w:ascii="Arial" w:cs="Arial" w:eastAsia="Arial" w:hAnsi="Arial"/>
          <w:b/>
          <w:bCs/>
          <w:sz w:val="22"/>
          <w:szCs w:val="22"/>
        </w:rPr>
        <w:t xml:space="preserve">system_documentation.md</w:t>
      </w:r>
      <w:r>
        <w:rPr>
          <w:rFonts w:ascii="Arial" w:cs="Arial" w:eastAsia="Arial" w:hAnsi="Arial"/>
          <w:sz w:val="22"/>
          <w:szCs w:val="22"/>
        </w:rPr>
        <w:t xml:space="preserve"> - A technical system documentation for the review committee. Includes: architecture diagram, data pipeline, embedding and retrieval strategy, prompt templates, evaluation methodology, performance metrics, limitations and failure modes, monitoring plan.</w:t>
      </w:r>
    </w:p>
    <w:p>
      <w:pPr>
        <w:spacing w:after="160"/>
      </w:pPr>
      <w:r>
        <w:rPr>
          <w:rFonts w:ascii="Arial" w:cs="Arial" w:eastAsia="Arial" w:hAnsi="Arial"/>
          <w:b/>
          <w:bCs/>
          <w:sz w:val="22"/>
          <w:szCs w:val="22"/>
        </w:rPr>
        <w:t xml:space="preserve">evaluation_report.md</w:t>
      </w:r>
      <w:r>
        <w:rPr>
          <w:rFonts w:ascii="Arial" w:cs="Arial" w:eastAsia="Arial" w:hAnsi="Arial"/>
          <w:sz w:val="22"/>
          <w:szCs w:val="22"/>
        </w:rPr>
        <w:t xml:space="preserve"> - A comprehensive evaluation report. Includes: faithfulness scores, relevance scores, completeness scores, hallucination analysis, cost per query breakdown, latency measurements, comparison of RAG configurations, and LLM-as-judge results.</w:t>
      </w:r>
    </w:p>
    <w:p>
      <w:pPr>
        <w:spacing w:after="160"/>
      </w:pPr>
      <w:r>
        <w:rPr>
          <w:rFonts w:ascii="Arial" w:cs="Arial" w:eastAsia="Arial" w:hAnsi="Arial"/>
          <w:b/>
          <w:bCs/>
          <w:sz w:val="22"/>
          <w:szCs w:val="22"/>
        </w:rPr>
        <w:t xml:space="preserve">Deliverable 3: Final Presentation (Day 10)</w:t>
      </w:r>
    </w:p>
    <w:p>
      <w:pPr>
        <w:spacing w:after="160"/>
      </w:pPr>
      <w:r>
        <w:rPr>
          <w:rFonts w:ascii="Arial" w:cs="Arial" w:eastAsia="Arial" w:hAnsi="Arial"/>
          <w:sz w:val="22"/>
          <w:szCs w:val="22"/>
        </w:rPr>
        <w:t xml:space="preserve">A 15-minute presentation to the simulated compliance review board, followed by 10 minutes of Q&amp;A. The presentation should cover: The Problem (2 min), Your Approach (3 min), Results (5 min), Cost &amp; Risk Analysis (2 min), Recommendation (2 min), Live Demo (1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Presenting to Non-Technical Stakeholders</w:t>
            </w:r>
          </w:p>
          <w:p>
            <w:pPr>
              <w:spacing w:after="80"/>
            </w:pPr>
            <w:r>
              <w:rPr>
                <w:rFonts w:ascii="Arial" w:cs="Arial" w:eastAsia="Arial" w:hAnsi="Arial"/>
                <w:sz w:val="20"/>
                <w:szCs w:val="20"/>
              </w:rPr>
              <w:t xml:space="preserve">Lead with the business impact, not the technology. 'This system reduces filing review time from 4 hours to 45 minutes' matters more than 'I used a multi-head attention transformer with 1536-dimensional embeddings.'</w:t>
            </w:r>
          </w:p>
          <w:p>
            <w:pPr>
              <w:spacing w:after="80"/>
            </w:pPr>
            <w:r>
              <w:rPr>
                <w:rFonts w:ascii="Arial" w:cs="Arial" w:eastAsia="Arial" w:hAnsi="Arial"/>
                <w:sz w:val="20"/>
                <w:szCs w:val="20"/>
              </w:rPr>
              <w:t xml:space="preserve">Every slide should answer ONE question. If a slide tries to do too much, split it.</w:t>
            </w:r>
          </w:p>
          <w:p>
            <w:pPr>
              <w:spacing w:after="80"/>
            </w:pPr>
            <w:r>
              <w:rPr>
                <w:rFonts w:ascii="Arial" w:cs="Arial" w:eastAsia="Arial" w:hAnsi="Arial"/>
                <w:sz w:val="20"/>
                <w:szCs w:val="20"/>
              </w:rPr>
              <w:t xml:space="preserve">The faithfulness score is the most important metric. Make it prominent. If the system hallucinates even 5% of the time, compliance teams cannot trust it.</w:t>
            </w:r>
          </w:p>
          <w:p>
            <w:pPr>
              <w:spacing w:after="80"/>
            </w:pPr>
            <w:r>
              <w:rPr>
                <w:rFonts w:ascii="Arial" w:cs="Arial" w:eastAsia="Arial" w:hAnsi="Arial"/>
                <w:sz w:val="20"/>
                <w:szCs w:val="20"/>
              </w:rPr>
              <w:t xml:space="preserve">Anticipate the CCO's question: 'What if the system misses a material risk?' Have your failure analysis ready.</w:t>
            </w:r>
          </w:p>
          <w:p>
            <w:pPr>
              <w:spacing w:after="80"/>
            </w:pPr>
            <w:r>
              <w:rPr>
                <w:rFonts w:ascii="Arial" w:cs="Arial" w:eastAsia="Arial" w:hAnsi="Arial"/>
                <w:sz w:val="20"/>
                <w:szCs w:val="20"/>
              </w:rPr>
              <w:t xml:space="preserve">If your system has significant limitations, say so directly. Recommending 'iterate' with honest analysis is better than overselling a flawed system.</w:t>
            </w:r>
          </w:p>
        </w:tc>
      </w:tr>
    </w:tbl>
    <w:p>
      <w:pPr>
        <w:pStyle w:val="Heading2"/>
        <w:spacing w:after="160" w:before="280"/>
      </w:pPr>
      <w:r>
        <w:rPr>
          <w:rFonts w:ascii="Arial" w:cs="Arial" w:eastAsia="Arial" w:hAnsi="Arial"/>
          <w:b/>
          <w:bCs/>
          <w:color w:val="1F3864"/>
          <w:sz w:val="28"/>
          <w:szCs w:val="28"/>
        </w:rPr>
        <w:t xml:space="preserve">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396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Score</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Capstone Step</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Data pipeline &amp; chunking quality</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Step 1: Data Ingestion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Embedding &amp; retrieval quality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15</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Step 2: Vector Store</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RAG pipeline accuracy</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Step 3: RAG Pipeline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Prompt engineering depth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Step 4: Prompt Optimization</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Agentic workflow implementation</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Step 5: Agentic Workflow</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Evaluation rigor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15</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Step 6: Comprehensive Evaluation</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System documentation quality</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Step 6: Written Deliverables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Final presentation</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Day 10: Live Presentation</w:t>
            </w:r>
          </w:p>
        </w:tc>
      </w:tr>
    </w:tbl>
    <w:p>
      <w:pPr>
        <w:pStyle w:val="Heading2"/>
        <w:spacing w:after="160" w:before="280"/>
      </w:pPr>
      <w:r>
        <w:rPr>
          <w:rFonts w:ascii="Arial" w:cs="Arial" w:eastAsia="Arial" w:hAnsi="Arial"/>
          <w:b/>
          <w:bCs/>
          <w:color w:val="1F3864"/>
          <w:sz w:val="28"/>
          <w:szCs w:val="28"/>
        </w:rPr>
        <w:t xml:space="preserve">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Notebook</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Step 1</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Data Ingestion &amp; Chunking</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01_data_ingestion.ipynb</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Days 1-2</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Step 2</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Embeddings &amp; Vector Store</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02_embedding_vectordb.ipynb</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Days 2-3</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Step 3</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RAG Pipeline</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03_rag_pipeline.ipynb</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Days 4-5</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Step 4</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Prompt Optimization</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04_prompt_optimization.ipynb</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Days 5-6</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Step 5</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Agentic Workflow</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05_agentic_workflow.ipynb</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Days 7-8</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Step 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Evaluation &amp; Deliverables</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06_evaluation.ipynb + reports/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Day 9</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Step 7</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Final Presentation</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Slide deck + live demo</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Day 10</w:t>
            </w:r>
          </w:p>
        </w:tc>
      </w:tr>
    </w:tbl>
    <w:p>
      <w:pPr>
        <w:pStyle w:val="Heading2"/>
        <w:spacing w:after="160" w:before="280"/>
      </w:pPr>
      <w:r>
        <w:rPr>
          <w:rFonts w:ascii="Arial" w:cs="Arial" w:eastAsia="Arial" w:hAnsi="Arial"/>
          <w:b/>
          <w:bCs/>
          <w:color w:val="1F3864"/>
          <w:sz w:val="28"/>
          <w:szCs w:val="28"/>
        </w:rPr>
        <w:t xml:space="preserve">Environment Setup</w:t>
      </w:r>
    </w:p>
    <w:p>
      <w:pPr>
        <w:spacing w:after="160"/>
      </w:pPr>
      <w:r>
        <w:rPr>
          <w:rFonts w:ascii="Arial" w:cs="Arial" w:eastAsia="Arial" w:hAnsi="Arial"/>
          <w:sz w:val="22"/>
          <w:szCs w:val="22"/>
        </w:rPr>
        <w:t xml:space="preserve">Before Day 1, ensure the following are installed and working. See demos/README.md for detailed step-by-step setup instructions.</w:t>
      </w:r>
    </w:p>
    <w:p>
      <w:pPr>
        <w:spacing w:after="160"/>
      </w:pPr>
      <w:r>
        <w:rPr>
          <w:rFonts w:ascii="Arial" w:cs="Arial" w:eastAsia="Arial" w:hAnsi="Arial"/>
          <w:sz w:val="22"/>
          <w:szCs w:val="22"/>
        </w:rPr>
        <w:t xml:space="preserve">Python 3.9+ with Jupyter Notebook or JupyterLab</w:t>
      </w:r>
    </w:p>
    <w:p>
      <w:pPr>
        <w:spacing w:after="160"/>
      </w:pPr>
      <w:r>
        <w:rPr>
          <w:rFonts w:ascii="Arial" w:cs="Arial" w:eastAsia="Arial" w:hAnsi="Arial"/>
          <w:sz w:val="22"/>
          <w:szCs w:val="22"/>
        </w:rPr>
        <w:t xml:space="preserve">Required packages: openai, langchain, langchain-openai, langchain-community, chromadb, sentence-transformers, beautifulsoup4, requests, tiktoken, mlflow, pandas, matplotlib, seaborn</w:t>
      </w:r>
    </w:p>
    <w:p>
      <w:pPr>
        <w:spacing w:after="160"/>
      </w:pPr>
      <w:r>
        <w:rPr>
          <w:rFonts w:ascii="Arial" w:cs="Arial" w:eastAsia="Arial" w:hAnsi="Arial"/>
          <w:sz w:val="22"/>
          <w:szCs w:val="22"/>
        </w:rPr>
        <w:t xml:space="preserve">Install command: pip install openai langchain langchain-openai langchain-community chromadb sentence-transformers beautifulsoup4 requests tiktoken mlflow pandas matplotlib seaborn</w:t>
      </w:r>
    </w:p>
    <w:p>
      <w:pPr>
        <w:spacing w:after="160"/>
      </w:pPr>
      <w:r>
        <w:rPr>
          <w:rFonts w:ascii="Arial" w:cs="Arial" w:eastAsia="Arial" w:hAnsi="Arial"/>
          <w:sz w:val="22"/>
          <w:szCs w:val="22"/>
        </w:rPr>
        <w:t xml:space="preserve">An OpenAI API key (set as environment variable OPENAI_API_KEY). A free-tier key is sufficient for development.</w:t>
      </w:r>
    </w:p>
    <w:p>
      <w:pPr>
        <w:spacing w:after="160"/>
      </w:pPr>
      <w:r>
        <w:rPr>
          <w:rFonts w:ascii="Arial" w:cs="Arial" w:eastAsia="Arial" w:hAnsi="Arial"/>
          <w:sz w:val="22"/>
          <w:szCs w:val="22"/>
        </w:rPr>
        <w:t xml:space="preserve">Run the provided demos/01_download_filings.py script to verify data access and connectivity to SEDAR+ and bank investor relations sites.</w:t>
      </w:r>
    </w:p>
    <w:p>
      <w:pPr>
        <w:pStyle w:val="Heading2"/>
        <w:spacing w:after="160" w:before="280"/>
      </w:pPr>
      <w:r>
        <w:rPr>
          <w:rFonts w:ascii="Arial" w:cs="Arial" w:eastAsia="Arial" w:hAnsi="Arial"/>
          <w:b/>
          <w:bCs/>
          <w:color w:val="1F3864"/>
          <w:sz w:val="28"/>
          <w:szCs w:val="28"/>
        </w:rPr>
        <w:t xml:space="preserve">How This Module Is Structured</w:t>
      </w:r>
    </w:p>
    <w:p>
      <w:pPr>
        <w:spacing w:after="160"/>
      </w:pPr>
      <w:r>
        <w:rPr>
          <w:rFonts w:ascii="Arial" w:cs="Arial" w:eastAsia="Arial" w:hAnsi="Arial"/>
          <w:sz w:val="22"/>
          <w:szCs w:val="22"/>
        </w:rPr>
        <w:t xml:space="preserve">This module follows a project-based learning approach. Every topic has two layers:</w:t>
      </w:r>
    </w:p>
    <w:p>
      <w:pPr>
        <w:spacing w:after="160"/>
      </w:pPr>
      <w:r>
        <w:rPr>
          <w:rFonts w:ascii="Arial" w:cs="Arial" w:eastAsia="Arial" w:hAnsi="Arial"/>
          <w:b/>
          <w:bCs/>
          <w:sz w:val="22"/>
          <w:szCs w:val="22"/>
        </w:rPr>
        <w:t xml:space="preserve">Learn: </w:t>
      </w:r>
      <w:r>
        <w:rPr>
          <w:rFonts w:ascii="Arial" w:cs="Arial" w:eastAsia="Arial" w:hAnsi="Arial"/>
          <w:sz w:val="22"/>
          <w:szCs w:val="22"/>
        </w:rPr>
        <w:t xml:space="preserve">Detailed conceptual material with video and website resources, written for new graduates entering Canadian financial services. Each subtopic includes best practices that apply to any GenAI project, not just finance.</w:t>
      </w:r>
    </w:p>
    <w:p>
      <w:pPr>
        <w:spacing w:after="160"/>
      </w:pPr>
      <w:r>
        <w:rPr>
          <w:rFonts w:ascii="Arial" w:cs="Arial" w:eastAsia="Arial" w:hAnsi="Arial"/>
          <w:b/>
          <w:bCs/>
          <w:sz w:val="22"/>
          <w:szCs w:val="22"/>
        </w:rPr>
        <w:t xml:space="preserve">Build: </w:t>
      </w:r>
      <w:r>
        <w:rPr>
          <w:rFonts w:ascii="Arial" w:cs="Arial" w:eastAsia="Arial" w:hAnsi="Arial"/>
          <w:sz w:val="22"/>
          <w:szCs w:val="22"/>
        </w:rPr>
        <w:t xml:space="preserve">A Capstone Project Step (marked with green boxes) where you apply what you just learned to the Canadian bank filing dataset.</w:t>
      </w:r>
    </w:p>
    <w:p>
      <w:pPr>
        <w:spacing w:after="160"/>
      </w:pPr>
      <w:r>
        <w:rPr>
          <w:rFonts w:ascii="Arial" w:cs="Arial" w:eastAsia="Arial" w:hAnsi="Arial"/>
          <w:sz w:val="22"/>
          <w:szCs w:val="22"/>
        </w:rPr>
        <w:t xml:space="preserve">The capstone is not a separate assignment at the end. It is the backbone of the entire module. Each topic teaches you a skill, and each capstone step asks you to use that skill on the same dataset that grows progressively richer as you add embeddings, retrieval, prompts, agents, and evaluation throughout the two weeks. On Day 10, you bring it all together in a presentation that tells the complete story: problem, approach, results, and recommendation.</w:t>
      </w:r>
    </w:p>
    <w:p>
      <w:r>
        <w:br w:type="page"/>
      </w:r>
    </w:p>
    <w:p>
      <w:pPr>
        <w:pStyle w:val="Heading1"/>
        <w:spacing w:after="200" w:before="360"/>
      </w:pPr>
      <w:r>
        <w:rPr>
          <w:rFonts w:ascii="Arial" w:cs="Arial" w:eastAsia="Arial" w:hAnsi="Arial"/>
          <w:b/>
          <w:bCs/>
          <w:color w:val="1F3864"/>
          <w:sz w:val="32"/>
          <w:szCs w:val="32"/>
        </w:rPr>
        <w:t xml:space="preserve">Topic 1: Foundation Models &amp; LLM Basics</w:t>
      </w:r>
    </w:p>
    <w:p>
      <w:pPr>
        <w:spacing w:after="160"/>
      </w:pPr>
      <w:r>
        <w:rPr>
          <w:rFonts w:ascii="Arial" w:cs="Arial" w:eastAsia="Arial" w:hAnsi="Arial"/>
          <w:sz w:val="22"/>
          <w:szCs w:val="22"/>
        </w:rPr>
        <w:t xml:space="preserve">Foundation models are large neural networks trained on massive datasets that can be adapted to a wide range of downstream tasks. Large Language Models (LLMs) are foundation models trained specifically on text data. Understanding how these models work, what they can and cannot do, and how to interact with them programmatically is the starting point for building any GenAI application. All examples use Canadian bank filings to build intuition for how LLMs process financial text.</w:t>
      </w:r>
    </w:p>
    <w:p>
      <w:pPr>
        <w:spacing w:after="120"/>
      </w:pPr>
      <w:r>
        <w:rPr>
          <w:rFonts w:ascii="Arial" w:cs="Arial" w:eastAsia="Arial" w:hAnsi="Arial"/>
          <w:b/>
          <w:bCs/>
          <w:color w:val="1F3864"/>
          <w:sz w:val="22"/>
          <w:szCs w:val="22"/>
        </w:rPr>
        <w:t xml:space="preserve">🎥 Recommended Video Resources</w:t>
      </w:r>
    </w:p>
    <w:p>
      <w:pPr>
        <w:spacing w:after="60"/>
      </w:pPr>
      <w:r>
        <w:rPr>
          <w:rFonts w:ascii="Arial" w:cs="Arial" w:eastAsia="Arial" w:hAnsi="Arial"/>
          <w:sz w:val="20"/>
          <w:szCs w:val="20"/>
        </w:rPr>
        <w:t xml:space="preserve">▶ </w:t>
      </w:r>
      <w:hyperlink w:history="1" r:id="rIdc_selh9udbcwygrnq9djh">
        <w:r>
          <w:rPr>
            <w:rStyle w:val="Hyperlink"/>
            <w:rFonts w:ascii="Arial" w:cs="Arial" w:eastAsia="Arial" w:hAnsi="Arial"/>
            <w:sz w:val="20"/>
            <w:szCs w:val="20"/>
          </w:rPr>
          <w:t xml:space="preserve">DeepLearning.AI: ChatGPT Prompt Engineering for Developers (Andrew Ng, Isa Fulford)</w:t>
        </w:r>
      </w:hyperlink>
    </w:p>
    <w:p>
      <w:pPr>
        <w:spacing w:after="60"/>
      </w:pPr>
      <w:r>
        <w:rPr>
          <w:rFonts w:ascii="Arial" w:cs="Arial" w:eastAsia="Arial" w:hAnsi="Arial"/>
          <w:sz w:val="20"/>
          <w:szCs w:val="20"/>
        </w:rPr>
        <w:t xml:space="preserve">▶ </w:t>
      </w:r>
      <w:hyperlink w:history="1" r:id="rIddb1f1xajcz8umkuby7use">
        <w:r>
          <w:rPr>
            <w:rStyle w:val="Hyperlink"/>
            <w:rFonts w:ascii="Arial" w:cs="Arial" w:eastAsia="Arial" w:hAnsi="Arial"/>
            <w:sz w:val="20"/>
            <w:szCs w:val="20"/>
          </w:rPr>
          <w:t xml:space="preserve">YouTube: Intro to Large Language Models (Andrej Karpathy, 1hr)</w:t>
        </w:r>
      </w:hyperlink>
    </w:p>
    <w:p>
      <w:pPr>
        <w:spacing w:after="60"/>
      </w:pPr>
      <w:r>
        <w:rPr>
          <w:rFonts w:ascii="Arial" w:cs="Arial" w:eastAsia="Arial" w:hAnsi="Arial"/>
          <w:sz w:val="20"/>
          <w:szCs w:val="20"/>
        </w:rPr>
        <w:t xml:space="preserve">▶ </w:t>
      </w:r>
      <w:hyperlink w:history="1" r:id="rIdub5iztj8ibvsqwyd6uddz">
        <w:r>
          <w:rPr>
            <w:rStyle w:val="Hyperlink"/>
            <w:rFonts w:ascii="Arial" w:cs="Arial" w:eastAsia="Arial" w:hAnsi="Arial"/>
            <w:sz w:val="20"/>
            <w:szCs w:val="20"/>
          </w:rPr>
          <w:t xml:space="preserve">YouTube: How GPT Works - Visualizing Attention and Transformers (3Blue1Brown)</w:t>
        </w:r>
      </w:hyperlink>
    </w:p>
    <w:p>
      <w:pPr>
        <w:spacing w:after="60"/>
      </w:pPr>
      <w:r>
        <w:rPr>
          <w:rFonts w:ascii="Arial" w:cs="Arial" w:eastAsia="Arial" w:hAnsi="Arial"/>
          <w:sz w:val="20"/>
          <w:szCs w:val="20"/>
        </w:rPr>
        <w:t xml:space="preserve">▶ </w:t>
      </w:r>
      <w:hyperlink w:history="1" r:id="rIdnoxxw3kt6bg6lzk-3-zmd">
        <w:r>
          <w:rPr>
            <w:rStyle w:val="Hyperlink"/>
            <w:rFonts w:ascii="Arial" w:cs="Arial" w:eastAsia="Arial" w:hAnsi="Arial"/>
            <w:sz w:val="20"/>
            <w:szCs w:val="20"/>
          </w:rPr>
          <w:t xml:space="preserve">YouTube: MIT 6.S191 - Deep Generative Models (Alexander Amini)</w:t>
        </w:r>
      </w:hyperlink>
    </w:p>
    <w:p>
      <w:pPr>
        <w:spacing w:after="60"/>
      </w:pPr>
      <w:r>
        <w:rPr>
          <w:rFonts w:ascii="Arial" w:cs="Arial" w:eastAsia="Arial" w:hAnsi="Arial"/>
          <w:sz w:val="20"/>
          <w:szCs w:val="20"/>
        </w:rPr>
        <w:t xml:space="preserve">▶ </w:t>
      </w:r>
      <w:hyperlink w:history="1" r:id="rIddiurnvd4hqfc4iaal7l30">
        <w:r>
          <w:rPr>
            <w:rStyle w:val="Hyperlink"/>
            <w:rFonts w:ascii="Arial" w:cs="Arial" w:eastAsia="Arial" w:hAnsi="Arial"/>
            <w:sz w:val="20"/>
            <w:szCs w:val="20"/>
          </w:rPr>
          <w:t xml:space="preserve">YouTube: But what is a GPT? Visual intro to transformers (3Blue1Brown)</w:t>
        </w:r>
      </w:hyperlink>
    </w:p>
    <w:p>
      <w:pPr>
        <w:spacing w:after="120"/>
      </w:pPr>
      <w:r>
        <w:rPr>
          <w:rFonts w:ascii="Arial" w:cs="Arial" w:eastAsia="Arial" w:hAnsi="Arial"/>
          <w:b/>
          <w:bCs/>
          <w:color w:val="1F3864"/>
          <w:sz w:val="22"/>
          <w:szCs w:val="22"/>
        </w:rPr>
        <w:t xml:space="preserve">🌐 Recommended Websites &amp; Reading</w:t>
      </w:r>
    </w:p>
    <w:p>
      <w:pPr>
        <w:spacing w:after="60"/>
      </w:pPr>
      <w:r>
        <w:rPr>
          <w:rFonts w:ascii="Arial" w:cs="Arial" w:eastAsia="Arial" w:hAnsi="Arial"/>
          <w:sz w:val="20"/>
          <w:szCs w:val="20"/>
        </w:rPr>
        <w:t xml:space="preserve">🌐 </w:t>
      </w:r>
      <w:hyperlink w:history="1" r:id="rIdihrmr0k-nkryharpbnrqd">
        <w:r>
          <w:rPr>
            <w:rStyle w:val="Hyperlink"/>
            <w:rFonts w:ascii="Arial" w:cs="Arial" w:eastAsia="Arial" w:hAnsi="Arial"/>
            <w:sz w:val="20"/>
            <w:szCs w:val="20"/>
          </w:rPr>
          <w:t xml:space="preserve">OpenAI API Documentation - Chat Completions (official)</w:t>
        </w:r>
      </w:hyperlink>
    </w:p>
    <w:p>
      <w:pPr>
        <w:spacing w:after="60"/>
      </w:pPr>
      <w:r>
        <w:rPr>
          <w:rFonts w:ascii="Arial" w:cs="Arial" w:eastAsia="Arial" w:hAnsi="Arial"/>
          <w:sz w:val="20"/>
          <w:szCs w:val="20"/>
        </w:rPr>
        <w:t xml:space="preserve">🌐 </w:t>
      </w:r>
      <w:hyperlink w:history="1" r:id="rIdmltvjkgbt5fooxq2m1pvn">
        <w:r>
          <w:rPr>
            <w:rStyle w:val="Hyperlink"/>
            <w:rFonts w:ascii="Arial" w:cs="Arial" w:eastAsia="Arial" w:hAnsi="Arial"/>
            <w:sz w:val="20"/>
            <w:szCs w:val="20"/>
          </w:rPr>
          <w:t xml:space="preserve">Anthropic - Introduction to LLMs (excellent conceptual guide)</w:t>
        </w:r>
      </w:hyperlink>
    </w:p>
    <w:p>
      <w:pPr>
        <w:spacing w:after="60"/>
      </w:pPr>
      <w:r>
        <w:rPr>
          <w:rFonts w:ascii="Arial" w:cs="Arial" w:eastAsia="Arial" w:hAnsi="Arial"/>
          <w:sz w:val="20"/>
          <w:szCs w:val="20"/>
        </w:rPr>
        <w:t xml:space="preserve">🌐 </w:t>
      </w:r>
      <w:hyperlink w:history="1" r:id="rIdnkylndis7jjitm69snfn4">
        <w:r>
          <w:rPr>
            <w:rStyle w:val="Hyperlink"/>
            <w:rFonts w:ascii="Arial" w:cs="Arial" w:eastAsia="Arial" w:hAnsi="Arial"/>
            <w:sz w:val="20"/>
            <w:szCs w:val="20"/>
          </w:rPr>
          <w:t xml:space="preserve">Hugging Face - NLP Course (free, comprehensive)</w:t>
        </w:r>
      </w:hyperlink>
    </w:p>
    <w:p>
      <w:pPr>
        <w:spacing w:after="60"/>
      </w:pPr>
      <w:r>
        <w:rPr>
          <w:rFonts w:ascii="Arial" w:cs="Arial" w:eastAsia="Arial" w:hAnsi="Arial"/>
          <w:sz w:val="20"/>
          <w:szCs w:val="20"/>
        </w:rPr>
        <w:t xml:space="preserve">🌐 </w:t>
      </w:r>
      <w:hyperlink w:history="1" r:id="rIdzaegzftgbscxgxoktdwbr">
        <w:r>
          <w:rPr>
            <w:rStyle w:val="Hyperlink"/>
            <w:rFonts w:ascii="Arial" w:cs="Arial" w:eastAsia="Arial" w:hAnsi="Arial"/>
            <w:sz w:val="20"/>
            <w:szCs w:val="20"/>
          </w:rPr>
          <w:t xml:space="preserve">LLM Visualization - Interactive 3D walkthrough of transformer inference</w:t>
        </w:r>
      </w:hyperlink>
    </w:p>
    <w:p>
      <w:pPr>
        <w:spacing w:after="60"/>
      </w:pPr>
      <w:r>
        <w:rPr>
          <w:rFonts w:ascii="Arial" w:cs="Arial" w:eastAsia="Arial" w:hAnsi="Arial"/>
          <w:sz w:val="20"/>
          <w:szCs w:val="20"/>
        </w:rPr>
        <w:t xml:space="preserve">🌐 </w:t>
      </w:r>
      <w:hyperlink w:history="1" r:id="rIduismvyvojbktzzlfpnv5p">
        <w:r>
          <w:rPr>
            <w:rStyle w:val="Hyperlink"/>
            <w:rFonts w:ascii="Arial" w:cs="Arial" w:eastAsia="Arial" w:hAnsi="Arial"/>
            <w:sz w:val="20"/>
            <w:szCs w:val="20"/>
          </w:rPr>
          <w:t xml:space="preserve">Jay Alammar - The Illustrated Transformer (visual explanation)</w:t>
        </w:r>
      </w:hyperlink>
    </w:p>
    <w:p>
      <w:pPr>
        <w:spacing w:after="60"/>
      </w:pPr>
      <w:r>
        <w:rPr>
          <w:rFonts w:ascii="Arial" w:cs="Arial" w:eastAsia="Arial" w:hAnsi="Arial"/>
          <w:sz w:val="20"/>
          <w:szCs w:val="20"/>
        </w:rPr>
        <w:t xml:space="preserve">🌐 </w:t>
      </w:r>
      <w:hyperlink w:history="1" r:id="rIdhfytcpj6tznz0ejpwlew1">
        <w:r>
          <w:rPr>
            <w:rStyle w:val="Hyperlink"/>
            <w:rFonts w:ascii="Arial" w:cs="Arial" w:eastAsia="Arial" w:hAnsi="Arial"/>
            <w:sz w:val="20"/>
            <w:szCs w:val="20"/>
          </w:rPr>
          <w:t xml:space="preserve">Google Machine Learning Crash Course - Foundational concepts</w:t>
        </w:r>
      </w:hyperlink>
    </w:p>
    <w:p>
      <w:pPr>
        <w:pStyle w:val="Heading2"/>
        <w:spacing w:after="160" w:before="280"/>
      </w:pPr>
      <w:r>
        <w:rPr>
          <w:rFonts w:ascii="Arial" w:cs="Arial" w:eastAsia="Arial" w:hAnsi="Arial"/>
          <w:b/>
          <w:bCs/>
          <w:color w:val="1F3864"/>
          <w:sz w:val="28"/>
          <w:szCs w:val="28"/>
        </w:rPr>
        <w:t xml:space="preserve">1.1 What Are Foundation Models?</w:t>
      </w:r>
    </w:p>
    <w:p>
      <w:pPr>
        <w:spacing w:after="160"/>
      </w:pPr>
      <w:r>
        <w:rPr>
          <w:rFonts w:ascii="Arial" w:cs="Arial" w:eastAsia="Arial" w:hAnsi="Arial"/>
          <w:sz w:val="22"/>
          <w:szCs w:val="22"/>
        </w:rPr>
        <w:t xml:space="preserve">A foundation model is a large neural network trained on broad data at scale that can be adapted to a wide range of tasks. The term was coined by Stanford's Center for Research on Foundation Models (CRFM) in 2021. Unlike traditional ML models that are trained for a single task (e.g., a logistic regression model trained specifically to predict credit default), foundation models learn general-purpose representations that transfer to many downstream applications.</w:t>
      </w:r>
    </w:p>
    <w:p>
      <w:pPr>
        <w:spacing w:after="160"/>
      </w:pPr>
      <w:r>
        <w:rPr>
          <w:rFonts w:ascii="Arial" w:cs="Arial" w:eastAsia="Arial" w:hAnsi="Arial"/>
          <w:sz w:val="22"/>
          <w:szCs w:val="22"/>
        </w:rPr>
        <w:t xml:space="preserve">The key insight behind foundation models is that self-supervised pre-training on massive unlabeled datasets produces models with emergent capabilities that were not explicitly trained. GPT-4, for instance, was trained by predicting the next word in a sequence across trillions of tokens of text. Through this simple objective, it learned to write code, answer questions, translate languages, summarize documents, and perform logical reasoning. These capabilities emerged from scale, not from task-specific training.</w:t>
      </w:r>
    </w:p>
    <w:p>
      <w:pPr>
        <w:spacing w:after="160"/>
      </w:pPr>
      <w:r>
        <w:rPr>
          <w:rFonts w:ascii="Arial" w:cs="Arial" w:eastAsia="Arial" w:hAnsi="Arial"/>
          <w:sz w:val="22"/>
          <w:szCs w:val="22"/>
        </w:rPr>
        <w:t xml:space="preserve">For financial services, the implications are profound. A single foundation model can power dozens of compliance workflows: summarizing regulatory filings, extracting risk factors, comparing language across documents, answering analyst questions, and generating draft reports. Before LLMs, each of these tasks required a separate NLP model with its own training data, feature engineering, and maintenance. Foundation models collapse this into a single system that is adapted through prompting rather than retraining.</w:t>
      </w:r>
    </w:p>
    <w:p>
      <w:pPr>
        <w:spacing w:after="160"/>
      </w:pPr>
      <w:r>
        <w:rPr>
          <w:rFonts w:ascii="Arial" w:cs="Arial" w:eastAsia="Arial" w:hAnsi="Arial"/>
          <w:sz w:val="22"/>
          <w:szCs w:val="22"/>
        </w:rPr>
        <w:t xml:space="preserve">The major foundation model families available today include OpenAI's GPT series (GPT-4o, GPT-4o-mini), Anthropic's Claude series, Google's Gemini, Meta's Llama (open-source), and Databricks' DBRX (open-source). Each has different strengths: GPT-4o excels at complex reasoning; GPT-4o-mini provides a strong quality-to-cost ratio for production; Claude excels at long-context analysis; Llama and DBRX can be deployed on-premises, avoiding data leaving your infrastructure. For Canadian banks subject to OSFI data residency requirements, the ability to run models locally or in Canadian data centres is a significant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Working with Foundation Models</w:t>
            </w:r>
          </w:p>
          <w:p>
            <w:pPr>
              <w:spacing w:after="80"/>
            </w:pPr>
            <w:r>
              <w:rPr>
                <w:rFonts w:ascii="Arial" w:cs="Arial" w:eastAsia="Arial" w:hAnsi="Arial"/>
                <w:sz w:val="20"/>
                <w:szCs w:val="20"/>
              </w:rPr>
              <w:t xml:space="preserve">Never send confidential client data to third-party APIs (OpenAI, Anthropic) without explicit approval from your compliance team. In Canadian banking, OSFI's Guideline B-10 (Outsourcing of Business Activities and Functions) applies to cloud AI services.</w:t>
            </w:r>
          </w:p>
          <w:p>
            <w:pPr>
              <w:spacing w:after="80"/>
            </w:pPr>
            <w:r>
              <w:rPr>
                <w:rFonts w:ascii="Arial" w:cs="Arial" w:eastAsia="Arial" w:hAnsi="Arial"/>
                <w:sz w:val="20"/>
                <w:szCs w:val="20"/>
              </w:rPr>
              <w:t xml:space="preserve">Always use the API, not the web chat interface, for production workflows. The API provides structured responses, reproducible outputs (with temperature=0), and audit logs.</w:t>
            </w:r>
          </w:p>
          <w:p>
            <w:pPr>
              <w:spacing w:after="80"/>
            </w:pPr>
            <w:r>
              <w:rPr>
                <w:rFonts w:ascii="Arial" w:cs="Arial" w:eastAsia="Arial" w:hAnsi="Arial"/>
                <w:sz w:val="20"/>
                <w:szCs w:val="20"/>
              </w:rPr>
              <w:t xml:space="preserve">Start with the smallest, cheapest model that meets your quality requirements. GPT-4o-mini is often sufficient for retrieval and summarization tasks and costs 10-20x less than GPT-4o.</w:t>
            </w:r>
          </w:p>
          <w:p>
            <w:pPr>
              <w:spacing w:after="80"/>
            </w:pPr>
            <w:r>
              <w:rPr>
                <w:rFonts w:ascii="Arial" w:cs="Arial" w:eastAsia="Arial" w:hAnsi="Arial"/>
                <w:sz w:val="20"/>
                <w:szCs w:val="20"/>
              </w:rPr>
              <w:t xml:space="preserve">Monitor token usage and cost from day one. A single query to GPT-4o with a large context can cost $0.10+. At 1,000 analyst queries per day, that is $100/day or $36,000/year.</w:t>
            </w:r>
          </w:p>
          <w:p>
            <w:pPr>
              <w:spacing w:after="80"/>
            </w:pPr>
            <w:r>
              <w:rPr>
                <w:rFonts w:ascii="Arial" w:cs="Arial" w:eastAsia="Arial" w:hAnsi="Arial"/>
                <w:sz w:val="20"/>
                <w:szCs w:val="20"/>
              </w:rPr>
              <w:t xml:space="preserve">LLMs are non-deterministic by default. Set temperature=0 for reproducible outputs in compliance applications where consistency matters.</w:t>
            </w:r>
          </w:p>
        </w:tc>
      </w:tr>
    </w:tbl>
    <w:p>
      <w:pPr>
        <w:pStyle w:val="Heading2"/>
        <w:spacing w:after="160" w:before="280"/>
      </w:pPr>
      <w:r>
        <w:rPr>
          <w:rFonts w:ascii="Arial" w:cs="Arial" w:eastAsia="Arial" w:hAnsi="Arial"/>
          <w:b/>
          <w:bCs/>
          <w:color w:val="1F3864"/>
          <w:sz w:val="28"/>
          <w:szCs w:val="28"/>
        </w:rPr>
        <w:t xml:space="preserve">1.2 The Transformer Architecture (Conceptual)</w:t>
      </w:r>
    </w:p>
    <w:p>
      <w:pPr>
        <w:spacing w:after="160"/>
      </w:pPr>
      <w:r>
        <w:rPr>
          <w:rFonts w:ascii="Arial" w:cs="Arial" w:eastAsia="Arial" w:hAnsi="Arial"/>
          <w:sz w:val="22"/>
          <w:szCs w:val="22"/>
        </w:rPr>
        <w:t xml:space="preserve">The transformer architecture, introduced in the 2017 paper 'Attention Is All You Need,' is the foundation of all modern LLMs. Understanding the transformer at a conceptual level helps you make better decisions about chunking, context windows, and prompt design. You do not need to implement a transformer from scratch, but you should understand the key mechanisms.</w:t>
      </w:r>
    </w:p>
    <w:p>
      <w:pPr>
        <w:spacing w:after="160"/>
      </w:pPr>
      <w:r>
        <w:rPr>
          <w:rFonts w:ascii="Arial" w:cs="Arial" w:eastAsia="Arial" w:hAnsi="Arial"/>
          <w:sz w:val="22"/>
          <w:szCs w:val="22"/>
        </w:rPr>
        <w:t xml:space="preserve">The core innovation is the self-attention mechanism, which allows each word (token) in the input to attend to every other word, computing a weighted sum based on relevance. When the model processes the sentence 'RBC reported a provision for credit losses of $2.1 billion, up from $1.8 billion in the prior year,' the word 'provision' attends heavily to 'credit losses' and '$2.1 billion,' learning that these are semantically connected. This allows the model to understand long-range dependencies that earlier architectures (RNNs, LSTMs from Module 2) struggled with.</w:t>
      </w:r>
    </w:p>
    <w:p>
      <w:pPr>
        <w:spacing w:after="160"/>
      </w:pPr>
      <w:r>
        <w:rPr>
          <w:rFonts w:ascii="Arial" w:cs="Arial" w:eastAsia="Arial" w:hAnsi="Arial"/>
          <w:sz w:val="22"/>
          <w:szCs w:val="22"/>
        </w:rPr>
        <w:t xml:space="preserve">Multi-head attention is the mechanism that allows the model to attend to different types of relationships simultaneously. One attention head might focus on syntactic relationships (subject-verb agreement), another on semantic relationships (numerical values and their labels), and another on positional relationships (sequential ordering of events). For financial text, this means the model can simultaneously track which numbers belong to which metrics, which time periods are being compared, and which entity each fact refers to. A typical LLM has 32-96 attention heads per layer, and 32-128 layers, creating an enormous capacity for learning diverse textual relationships.</w:t>
      </w:r>
    </w:p>
    <w:p>
      <w:pPr>
        <w:spacing w:after="160"/>
      </w:pPr>
      <w:r>
        <w:rPr>
          <w:rFonts w:ascii="Arial" w:cs="Arial" w:eastAsia="Arial" w:hAnsi="Arial"/>
          <w:b/>
          <w:bCs/>
          <w:sz w:val="22"/>
          <w:szCs w:val="22"/>
        </w:rPr>
        <w:t xml:space="preserve">The Context Window</w:t>
      </w:r>
    </w:p>
    <w:p>
      <w:pPr>
        <w:spacing w:after="160"/>
      </w:pPr>
      <w:r>
        <w:rPr>
          <w:rFonts w:ascii="Arial" w:cs="Arial" w:eastAsia="Arial" w:hAnsi="Arial"/>
          <w:sz w:val="22"/>
          <w:szCs w:val="22"/>
        </w:rPr>
        <w:t xml:space="preserve">The context window is the maximum number of tokens the model can process in a single forward pass. GPT-4o has a 128,000-token context window (approximately 300 pages of text). Claude 3.5 Sonnet supports 200,000 tokens (approximately 500 pages). This is large enough to fit an entire bank quarterly report but not an entire annual report (which may be 400+ pages). This constraint drives the need for retrieval-augmented generation: instead of feeding the entire filing into the model, you retrieve only the most relevant chunks and include them in the prompt.</w:t>
      </w:r>
    </w:p>
    <w:p>
      <w:pPr>
        <w:spacing w:after="160"/>
      </w:pPr>
      <w:r>
        <w:rPr>
          <w:rFonts w:ascii="Arial" w:cs="Arial" w:eastAsia="Arial" w:hAnsi="Arial"/>
          <w:sz w:val="22"/>
          <w:szCs w:val="22"/>
        </w:rPr>
        <w:t xml:space="preserve">A practical implication of the context window: attention is computed between every pair of tokens, so computation grows quadratically with context length. A 128K-token prompt is not just 4x more expensive than a 32K-token prompt - it is significantly slower per token generated. This means you should always minimize the context you send. Retrieving 5 relevant 500-token chunks (2,500 tokens total) is far more efficient than sending an entire 50,000-token filing, even if the model's context window could accommodate it.</w:t>
      </w:r>
    </w:p>
    <w:p>
      <w:pPr>
        <w:spacing w:after="160"/>
      </w:pPr>
      <w:r>
        <w:rPr>
          <w:rFonts w:ascii="Arial" w:cs="Arial" w:eastAsia="Arial" w:hAnsi="Arial"/>
          <w:b/>
          <w:bCs/>
          <w:sz w:val="22"/>
          <w:szCs w:val="22"/>
        </w:rPr>
        <w:t xml:space="preserve">Tokenization</w:t>
      </w:r>
    </w:p>
    <w:p>
      <w:pPr>
        <w:spacing w:after="160"/>
      </w:pPr>
      <w:r>
        <w:rPr>
          <w:rFonts w:ascii="Arial" w:cs="Arial" w:eastAsia="Arial" w:hAnsi="Arial"/>
          <w:sz w:val="22"/>
          <w:szCs w:val="22"/>
        </w:rPr>
        <w:t xml:space="preserve">Tokenization is how the model converts text to numbers. Most modern LLMs use subword tokenization (Byte-Pair Encoding or SentencePiece), which splits common words into single tokens and rare words into subword pieces. The word 'cybersecurity' might be a single token, while 'OSFI' might be split into 'OS' and 'FI'. Financial jargon and abbreviations are often split into multiple tokens, which increases the token count. Use tiktoken (OpenAI's tokenizer library) to count tokens before sending requests.</w:t>
      </w:r>
    </w:p>
    <w:p>
      <w:pPr>
        <w:spacing w:after="160"/>
      </w:pPr>
      <w:r>
        <w:rPr>
          <w:rFonts w:ascii="Arial" w:cs="Arial" w:eastAsia="Arial" w:hAnsi="Arial"/>
          <w:sz w:val="22"/>
          <w:szCs w:val="22"/>
        </w:rPr>
        <w:t xml:space="preserve">Understanding tokenization has practical implications for financial text. Formatted numbers like '$3,421,000,000' consume many tokens because each digit group, comma, and dollar sign may be separate tokens. Abbreviations common in Canadian banking (PCL, ACL, AIF, LCR, NSFR, AIRB) are typically split into individual characters or character pairs, consuming 2-4 tokens each. Tables are especially token-heavy because each cell boundary, column header, and row separator is tokenized. When chunking financial documents, be aware that a 500-word paragraph containing many numbers and abbreviations may consume significantly more than 500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Context Windows and Tokenization</w:t>
            </w:r>
          </w:p>
          <w:p>
            <w:pPr>
              <w:spacing w:after="80"/>
            </w:pPr>
            <w:r>
              <w:rPr>
                <w:rFonts w:ascii="Arial" w:cs="Arial" w:eastAsia="Arial" w:hAnsi="Arial"/>
                <w:sz w:val="20"/>
                <w:szCs w:val="20"/>
              </w:rPr>
              <w:t xml:space="preserve">Always count tokens before sending a request. Use tiktoken: import tiktoken; enc = tiktoken.encoding_for_model('gpt-4o-mini'); len(enc.encode(text)).</w:t>
            </w:r>
          </w:p>
          <w:p>
            <w:pPr>
              <w:spacing w:after="80"/>
            </w:pPr>
            <w:r>
              <w:rPr>
                <w:rFonts w:ascii="Arial" w:cs="Arial" w:eastAsia="Arial" w:hAnsi="Arial"/>
                <w:sz w:val="20"/>
                <w:szCs w:val="20"/>
              </w:rPr>
              <w:t xml:space="preserve">Reserve at least 500-1000 tokens for the model's response. If your context window is 128K tokens and your prompt uses 127K, the model has almost no room to respond.</w:t>
            </w:r>
          </w:p>
          <w:p>
            <w:pPr>
              <w:spacing w:after="80"/>
            </w:pPr>
            <w:r>
              <w:rPr>
                <w:rFonts w:ascii="Arial" w:cs="Arial" w:eastAsia="Arial" w:hAnsi="Arial"/>
                <w:sz w:val="20"/>
                <w:szCs w:val="20"/>
              </w:rPr>
              <w:t xml:space="preserve">Canadian bank filings often contain tables with financial data. Tables consume many tokens because each cell, header, and separator is tokenized individually. Consider extracting tables separately.</w:t>
            </w:r>
          </w:p>
          <w:p>
            <w:pPr>
              <w:spacing w:after="80"/>
            </w:pPr>
            <w:r>
              <w:rPr>
                <w:rFonts w:ascii="Arial" w:cs="Arial" w:eastAsia="Arial" w:hAnsi="Arial"/>
                <w:sz w:val="20"/>
                <w:szCs w:val="20"/>
              </w:rPr>
              <w:t xml:space="preserve">Bilingual filings (English/French) can double your token count. Filter for the English sections during preprocessing.</w:t>
            </w:r>
          </w:p>
          <w:p>
            <w:pPr>
              <w:spacing w:after="80"/>
            </w:pPr>
            <w:r>
              <w:rPr>
                <w:rFonts w:ascii="Arial" w:cs="Arial" w:eastAsia="Arial" w:hAnsi="Arial"/>
                <w:sz w:val="20"/>
                <w:szCs w:val="20"/>
              </w:rPr>
              <w:t xml:space="preserve">A rule of thumb: 1 token is approximately 4 characters or 0.75 words in English. A 300-page annual report is roughly 150,000 tokens.</w:t>
            </w:r>
          </w:p>
        </w:tc>
      </w:tr>
    </w:tbl>
    <w:p>
      <w:pPr>
        <w:pStyle w:val="Heading2"/>
        <w:spacing w:after="160" w:before="280"/>
      </w:pPr>
      <w:r>
        <w:rPr>
          <w:rFonts w:ascii="Arial" w:cs="Arial" w:eastAsia="Arial" w:hAnsi="Arial"/>
          <w:b/>
          <w:bCs/>
          <w:color w:val="1F3864"/>
          <w:sz w:val="28"/>
          <w:szCs w:val="28"/>
        </w:rPr>
        <w:t xml:space="preserve">1.3 LLM Capabilities and Limitations for Financial Applications</w:t>
      </w:r>
    </w:p>
    <w:p>
      <w:pPr>
        <w:spacing w:after="160"/>
      </w:pPr>
      <w:r>
        <w:rPr>
          <w:rFonts w:ascii="Arial" w:cs="Arial" w:eastAsia="Arial" w:hAnsi="Arial"/>
          <w:sz w:val="22"/>
          <w:szCs w:val="22"/>
        </w:rPr>
        <w:t xml:space="preserve">LLMs excel at text understanding, summarization, question answering, information extraction, and language generation. For financial compliance, the most valuable capabilities are: (1) answering specific questions about filing content ('What was RBC's provision for credit losses in 2024?'), (2) summarizing long sections ('Summarize the key risk factors from TD's MD&amp;A'), (3) comparing text across documents ('How did BMO's climate risk disclosure change from 2023 to 2024?'), and (4) extracting structured data from unstructured text ('Extract all dollar amounts and their associated metrics from this paragraph').</w:t>
      </w:r>
    </w:p>
    <w:p>
      <w:pPr>
        <w:spacing w:after="160"/>
      </w:pPr>
      <w:r>
        <w:rPr>
          <w:rFonts w:ascii="Arial" w:cs="Arial" w:eastAsia="Arial" w:hAnsi="Arial"/>
          <w:sz w:val="22"/>
          <w:szCs w:val="22"/>
        </w:rPr>
        <w:t xml:space="preserve">The critical limitation for financial applications is hallucination: LLMs sometimes generate plausible-sounding but factually incorrect information. An LLM might confidently state that 'Scotiabank's provision for credit losses was $3.2 billion in 2024' when the actual figure was $4.1 billion, or it might attribute a risk disclosure from RBC to TD. This is catastrophic for compliance workflows where accuracy is non-negotiable. RAG (Retrieval-Augmented Generation) addresses this by grounding the model's responses in retrieved source text, but it does not eliminate hallucination entirely. Even with RAG, the model may misinterpret the retrieved text, conflate information from different chunks, or generate plausible-sounding inferences not supported by the source.</w:t>
      </w:r>
    </w:p>
    <w:p>
      <w:pPr>
        <w:spacing w:after="160"/>
      </w:pPr>
      <w:r>
        <w:rPr>
          <w:rFonts w:ascii="Arial" w:cs="Arial" w:eastAsia="Arial" w:hAnsi="Arial"/>
          <w:sz w:val="22"/>
          <w:szCs w:val="22"/>
        </w:rPr>
        <w:t xml:space="preserve">Other important limitations include: knowledge cutoff (the model's training data has a fixed end date and does not include recent filings), inability to perform precise arithmetic (always verify computed ratios - if you ask 'what percentage did PCL increase?' the model may compute incorrectly), sensitivity to prompt wording (small changes in the prompt can produce very different outputs), and context window limits (you cannot fit a 400-page annual report in a single prompt).</w:t>
      </w:r>
    </w:p>
    <w:p>
      <w:pPr>
        <w:spacing w:after="160"/>
      </w:pPr>
      <w:r>
        <w:rPr>
          <w:rFonts w:ascii="Arial" w:cs="Arial" w:eastAsia="Arial" w:hAnsi="Arial"/>
          <w:sz w:val="22"/>
          <w:szCs w:val="22"/>
        </w:rPr>
        <w:t xml:space="preserve">A subtler limitation is the model's tendency toward sycophancy - agreeing with the user's premise even when the evidence contradicts it. If an analyst asks 'RBC's credit quality deteriorated significantly in 2024, right?' the model may confirm this characterization even if the filing language describes the change as 'modest' or 'within expectations.' For compliance applications, prompts should be written neutrally ('Describe RBC's credit quality trends in 2024') rather than leading ('Confirm that RBC's credit quality deteriorated').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LLMs in Financial Compliance</w:t>
            </w:r>
          </w:p>
          <w:p>
            <w:pPr>
              <w:spacing w:after="80"/>
            </w:pPr>
            <w:r>
              <w:rPr>
                <w:rFonts w:ascii="Arial" w:cs="Arial" w:eastAsia="Arial" w:hAnsi="Arial"/>
                <w:sz w:val="20"/>
                <w:szCs w:val="20"/>
              </w:rPr>
              <w:t xml:space="preserve">NEVER deploy an LLM system for financial compliance without a human review step. LLMs are first-pass tools, not decision-makers.</w:t>
            </w:r>
          </w:p>
          <w:p>
            <w:pPr>
              <w:spacing w:after="80"/>
            </w:pPr>
            <w:r>
              <w:rPr>
                <w:rFonts w:ascii="Arial" w:cs="Arial" w:eastAsia="Arial" w:hAnsi="Arial"/>
                <w:sz w:val="20"/>
                <w:szCs w:val="20"/>
              </w:rPr>
              <w:t xml:space="preserve">Always require the system to cite its sources. If the model cannot point to a specific passage in the filing, the answer should be flagged for manual review.</w:t>
            </w:r>
          </w:p>
          <w:p>
            <w:pPr>
              <w:spacing w:after="80"/>
            </w:pPr>
            <w:r>
              <w:rPr>
                <w:rFonts w:ascii="Arial" w:cs="Arial" w:eastAsia="Arial" w:hAnsi="Arial"/>
                <w:sz w:val="20"/>
                <w:szCs w:val="20"/>
              </w:rPr>
              <w:t xml:space="preserve">Test for hallucination systematically. Create a test set of questions where you know the correct answer and measure how often the model fabricates information.</w:t>
            </w:r>
          </w:p>
          <w:p>
            <w:pPr>
              <w:spacing w:after="80"/>
            </w:pPr>
            <w:r>
              <w:rPr>
                <w:rFonts w:ascii="Arial" w:cs="Arial" w:eastAsia="Arial" w:hAnsi="Arial"/>
                <w:sz w:val="20"/>
                <w:szCs w:val="20"/>
              </w:rPr>
              <w:t xml:space="preserve">Financial numbers must be verified. If the model extracts '$2.1 billion in credit losses,' compare against the actual filing text. Do not trust computed ratios.</w:t>
            </w:r>
          </w:p>
          <w:p>
            <w:pPr>
              <w:spacing w:after="80"/>
            </w:pPr>
            <w:r>
              <w:rPr>
                <w:rFonts w:ascii="Arial" w:cs="Arial" w:eastAsia="Arial" w:hAnsi="Arial"/>
                <w:sz w:val="20"/>
                <w:szCs w:val="20"/>
              </w:rPr>
              <w:t xml:space="preserve">OSFI Guideline E-23 (Model Risk Management) applies to AI/ML models used in risk management. Your GenAI system may fall under E-23 if used for compliance decisions.</w:t>
            </w:r>
          </w:p>
          <w:p>
            <w:pPr>
              <w:spacing w:after="80"/>
            </w:pPr>
            <w:r>
              <w:rPr>
                <w:rFonts w:ascii="Arial" w:cs="Arial" w:eastAsia="Arial" w:hAnsi="Arial"/>
                <w:sz w:val="20"/>
                <w:szCs w:val="20"/>
              </w:rPr>
              <w:t xml:space="preserve">Write neutral prompts. Avoid leading questions that suggest a conclusion. Let the model extract the information and the analyst draw conclusions.</w:t>
            </w:r>
          </w:p>
        </w:tc>
      </w:tr>
    </w:tbl>
    <w:p>
      <w:pPr>
        <w:pStyle w:val="Heading2"/>
        <w:spacing w:after="160" w:before="280"/>
      </w:pPr>
      <w:r>
        <w:rPr>
          <w:rFonts w:ascii="Arial" w:cs="Arial" w:eastAsia="Arial" w:hAnsi="Arial"/>
          <w:b/>
          <w:bCs/>
          <w:color w:val="1F3864"/>
          <w:sz w:val="28"/>
          <w:szCs w:val="28"/>
        </w:rPr>
        <w:t xml:space="preserve">1.4 The OpenAI API: Practical Interaction</w:t>
      </w:r>
    </w:p>
    <w:p>
      <w:pPr>
        <w:spacing w:after="160"/>
      </w:pPr>
      <w:r>
        <w:rPr>
          <w:rFonts w:ascii="Arial" w:cs="Arial" w:eastAsia="Arial" w:hAnsi="Arial"/>
          <w:sz w:val="22"/>
          <w:szCs w:val="22"/>
        </w:rPr>
        <w:t xml:space="preserve">Interacting with LLMs programmatically through APIs is a core skill for this module. The OpenAI Chat Completions API is the most widely used interface and serves as the reference implementation that other providers (Anthropic, Google, Databricks) largely mirror. Understanding the API's parameters and their impact on output quality is essential before building any application.</w:t>
      </w:r>
    </w:p>
    <w:p>
      <w:pPr>
        <w:spacing w:after="160"/>
      </w:pPr>
      <w:r>
        <w:rPr>
          <w:rFonts w:ascii="Arial" w:cs="Arial" w:eastAsia="Arial" w:hAnsi="Arial"/>
          <w:sz w:val="22"/>
          <w:szCs w:val="22"/>
        </w:rPr>
        <w:t xml:space="preserve">The API accepts three types of messages in a conversation: system messages (set the model's persona, instructions, and constraints), user messages (the question or request), and assistant messages (previous model responses, used for multi-turn conversations). The system message is sent once at the start and persists throughout the conversation. For RAG applications, the system message defines the model's role ('You are a Canadian bank compliance analyst'), sets behavioral constraints ('Answer ONLY based on the provided context'), and specifies output format ('Cite the bank, document, and section for every claim').</w:t>
      </w:r>
    </w:p>
    <w:p>
      <w:pPr>
        <w:spacing w:after="160"/>
      </w:pPr>
      <w:r>
        <w:rPr>
          <w:rFonts w:ascii="Arial" w:cs="Arial" w:eastAsia="Arial" w:hAnsi="Arial"/>
          <w:sz w:val="22"/>
          <w:szCs w:val="22"/>
        </w:rPr>
        <w:t xml:space="preserve">The temperature parameter controls randomness in the model's output. Temperature=0 produces the most deterministic output (the model always picks the most probable next token), which is essential for compliance applications where the same question should produce the same answer. Temperature=0.7-1.0 produces more creative, varied output, useful for brainstorming or writing but dangerous for factual extraction. For the capstone project, always use temperature=0.</w:t>
      </w:r>
    </w:p>
    <w:p>
      <w:pPr>
        <w:spacing w:after="160"/>
      </w:pPr>
      <w:r>
        <w:rPr>
          <w:rFonts w:ascii="Arial" w:cs="Arial" w:eastAsia="Arial" w:hAnsi="Arial"/>
          <w:sz w:val="22"/>
          <w:szCs w:val="22"/>
        </w:rPr>
        <w:t xml:space="preserve">The max_tokens parameter controls the maximum length of the response. Setting it too low (e.g., 100) truncates the answer mid-sentence. Setting it too high wastes money on unused capacity. A reasonable default for compliance Q&amp;A is 500-1000 tokens. For detailed summaries or comparisons, use 1500-2000. Always check that the model's finish_reason is 'stop' (completed naturally) rather than 'length' (truncated).</w:t>
      </w:r>
    </w:p>
    <w:p>
      <w:pPr>
        <w:spacing w:after="160"/>
      </w:pPr>
      <w:r>
        <w:rPr>
          <w:rFonts w:ascii="Arial" w:cs="Arial" w:eastAsia="Arial" w:hAnsi="Arial"/>
          <w:sz w:val="22"/>
          <w:szCs w:val="22"/>
        </w:rPr>
        <w:t xml:space="preserve">See demos/04_prompt_engineering.py for complete API call examples with different parameter configurations and their effect on output quality for Canadian bank filing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Using the OpenAI API</w:t>
            </w:r>
          </w:p>
          <w:p>
            <w:pPr>
              <w:spacing w:after="80"/>
            </w:pPr>
            <w:r>
              <w:rPr>
                <w:rFonts w:ascii="Arial" w:cs="Arial" w:eastAsia="Arial" w:hAnsi="Arial"/>
                <w:sz w:val="20"/>
                <w:szCs w:val="20"/>
              </w:rPr>
              <w:t xml:space="preserve">Always wrap API calls in try/except blocks. The API can fail due to rate limits, network issues, or invalid input.</w:t>
            </w:r>
          </w:p>
          <w:p>
            <w:pPr>
              <w:spacing w:after="80"/>
            </w:pPr>
            <w:r>
              <w:rPr>
                <w:rFonts w:ascii="Arial" w:cs="Arial" w:eastAsia="Arial" w:hAnsi="Arial"/>
                <w:sz w:val="20"/>
                <w:szCs w:val="20"/>
              </w:rPr>
              <w:t xml:space="preserve">Log every API call: input tokens, output tokens, model, temperature, cost. You need this data for cost projections and debugging.</w:t>
            </w:r>
          </w:p>
          <w:p>
            <w:pPr>
              <w:spacing w:after="80"/>
            </w:pPr>
            <w:r>
              <w:rPr>
                <w:rFonts w:ascii="Arial" w:cs="Arial" w:eastAsia="Arial" w:hAnsi="Arial"/>
                <w:sz w:val="20"/>
                <w:szCs w:val="20"/>
              </w:rPr>
              <w:t xml:space="preserve">Use the response_format parameter with type: 'json_object' when you need structured output. This guarantees valid JSON (though not necessarily correct content).</w:t>
            </w:r>
          </w:p>
          <w:p>
            <w:pPr>
              <w:spacing w:after="80"/>
            </w:pPr>
            <w:r>
              <w:rPr>
                <w:rFonts w:ascii="Arial" w:cs="Arial" w:eastAsia="Arial" w:hAnsi="Arial"/>
                <w:sz w:val="20"/>
                <w:szCs w:val="20"/>
              </w:rPr>
              <w:t xml:space="preserve">Set a reasonable max_tokens. If your answer should be 2-3 sentences, set max_tokens=200. Do not default to 4096 for every call.</w:t>
            </w:r>
          </w:p>
          <w:p>
            <w:pPr>
              <w:spacing w:after="80"/>
            </w:pPr>
            <w:r>
              <w:rPr>
                <w:rFonts w:ascii="Arial" w:cs="Arial" w:eastAsia="Arial" w:hAnsi="Arial"/>
                <w:sz w:val="20"/>
                <w:szCs w:val="20"/>
              </w:rPr>
              <w:t xml:space="preserve">The API does not remember previous calls. Each call is independent. If you need multi-turn conversation, you must include the full message history in each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60"/>
              <w:left w:type="dxa" w:w="200"/>
              <w:bottom w:type="dxa" w:w="160"/>
              <w:right w:type="dxa" w:w="200"/>
            </w:tcMar>
          </w:tcPr>
          <w:p>
            <w:pPr>
              <w:spacing w:after="120"/>
            </w:pPr>
            <w:r>
              <w:rPr>
                <w:rFonts w:ascii="Arial" w:cs="Arial" w:eastAsia="Arial" w:hAnsi="Arial"/>
                <w:b/>
                <w:bCs/>
                <w:sz w:val="22"/>
                <w:szCs w:val="22"/>
              </w:rPr>
              <w:t xml:space="preserve">🏗️ Capstone Step 1: Canadian Bank Filing Data Ingestion &amp; Chunking</w:t>
            </w:r>
          </w:p>
          <w:p>
            <w:pPr>
              <w:spacing w:after="80"/>
            </w:pPr>
            <w:r>
              <w:rPr>
                <w:rFonts w:ascii="Arial" w:cs="Arial" w:eastAsia="Arial" w:hAnsi="Arial"/>
                <w:sz w:val="20"/>
                <w:szCs w:val="20"/>
              </w:rPr>
              <w:t xml:space="preserve">Objective: Download Canadian bank filings, parse them into clean text, and create semantically meaningful chunks for embedding.</w:t>
            </w:r>
          </w:p>
          <w:p>
            <w:pPr>
              <w:spacing w:after="80"/>
            </w:pPr>
            <w:r>
              <w:rPr>
                <w:rFonts w:ascii="Arial" w:cs="Arial" w:eastAsia="Arial" w:hAnsi="Arial"/>
                <w:sz w:val="20"/>
                <w:szCs w:val="20"/>
              </w:rPr>
              <w:t xml:space="preserve">What to do:</w:t>
            </w:r>
          </w:p>
          <w:p>
            <w:pPr>
              <w:spacing w:after="80"/>
            </w:pPr>
            <w:r>
              <w:rPr>
                <w:rFonts w:ascii="Arial" w:cs="Arial" w:eastAsia="Arial" w:hAnsi="Arial"/>
                <w:sz w:val="20"/>
                <w:szCs w:val="20"/>
              </w:rPr>
              <w:t xml:space="preserve">1. Use demos/01_download_filings.py to download annual reports and AIFs from SEDAR+ or bank investor relations websites for 5 Canadian banks (RBC, TD, BMO, Scotiabank, CIBC). Target the most recent 2 fiscal years.</w:t>
            </w:r>
          </w:p>
          <w:p>
            <w:pPr>
              <w:spacing w:after="80"/>
            </w:pPr>
            <w:r>
              <w:rPr>
                <w:rFonts w:ascii="Arial" w:cs="Arial" w:eastAsia="Arial" w:hAnsi="Arial"/>
                <w:sz w:val="20"/>
                <w:szCs w:val="20"/>
              </w:rPr>
              <w:t xml:space="preserve">2. Parse PDF/HTML filings into clean text. Remove headers, footers, page numbers, and table of contents. Preserve section headings (MD&amp;A, Risk Management, etc.).</w:t>
            </w:r>
          </w:p>
          <w:p>
            <w:pPr>
              <w:spacing w:after="80"/>
            </w:pPr>
            <w:r>
              <w:rPr>
                <w:rFonts w:ascii="Arial" w:cs="Arial" w:eastAsia="Arial" w:hAnsi="Arial"/>
                <w:sz w:val="20"/>
                <w:szCs w:val="20"/>
              </w:rPr>
              <w:t xml:space="preserve">3. Implement a chunking strategy: split documents into chunks of 500-1000 tokens with 100-200 token overlap. Each chunk should be semantically coherent (do not split mid-sentence or mid-paragraph).</w:t>
            </w:r>
          </w:p>
          <w:p>
            <w:pPr>
              <w:spacing w:after="80"/>
            </w:pPr>
            <w:r>
              <w:rPr>
                <w:rFonts w:ascii="Arial" w:cs="Arial" w:eastAsia="Arial" w:hAnsi="Arial"/>
                <w:sz w:val="20"/>
                <w:szCs w:val="20"/>
              </w:rPr>
              <w:t xml:space="preserve">4. Add metadata to each chunk: bank name, document type (annual report, AIF, quarterly), fiscal year, quarter, section name.</w:t>
            </w:r>
          </w:p>
          <w:p>
            <w:pPr>
              <w:spacing w:after="80"/>
            </w:pPr>
            <w:r>
              <w:rPr>
                <w:rFonts w:ascii="Arial" w:cs="Arial" w:eastAsia="Arial" w:hAnsi="Arial"/>
                <w:sz w:val="20"/>
                <w:szCs w:val="20"/>
              </w:rPr>
              <w:t xml:space="preserve">5. Create a filing index: a CSV file listing all filings with bank, type, date, number of pages, number of chunks.</w:t>
            </w:r>
          </w:p>
          <w:p>
            <w:pPr>
              <w:spacing w:after="80"/>
            </w:pPr>
            <w:r>
              <w:rPr>
                <w:rFonts w:ascii="Arial" w:cs="Arial" w:eastAsia="Arial" w:hAnsi="Arial"/>
                <w:sz w:val="20"/>
                <w:szCs w:val="20"/>
              </w:rPr>
              <w:t xml:space="preserve">6. Count total tokens across all chunks using tiktoken. Report the estimated embedding cost.</w:t>
            </w:r>
          </w:p>
          <w:p>
            <w:pPr>
              <w:spacing w:after="80"/>
            </w:pPr>
            <w:r>
              <w:rPr>
                <w:rFonts w:ascii="Arial" w:cs="Arial" w:eastAsia="Arial" w:hAnsi="Arial"/>
                <w:sz w:val="20"/>
                <w:szCs w:val="20"/>
              </w:rPr>
              <w:t xml:space="preserve">7. Visualize chunk length distribution and chunk count per bank per document type.</w:t>
            </w:r>
          </w:p>
          <w:p>
            <w:pPr>
              <w:spacing w:after="80"/>
            </w:pPr>
            <w:r>
              <w:rPr>
                <w:rFonts w:ascii="Arial" w:cs="Arial" w:eastAsia="Arial" w:hAnsi="Arial"/>
                <w:sz w:val="20"/>
                <w:szCs w:val="20"/>
              </w:rPr>
              <w:t xml:space="preserve">Deliverable: 01_data_ingestion.ipynb with parsed text files, chunk metadata, filing index, and token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Financial Document Chunking</w:t>
            </w:r>
          </w:p>
          <w:p>
            <w:pPr>
              <w:spacing w:after="80"/>
            </w:pPr>
            <w:r>
              <w:rPr>
                <w:rFonts w:ascii="Arial" w:cs="Arial" w:eastAsia="Arial" w:hAnsi="Arial"/>
                <w:sz w:val="20"/>
                <w:szCs w:val="20"/>
              </w:rPr>
              <w:t xml:space="preserve">Chunk at paragraph or section boundaries, not at fixed character counts. A chunk that splits a risk factor description mid-sentence loses semantic meaning.</w:t>
            </w:r>
          </w:p>
          <w:p>
            <w:pPr>
              <w:spacing w:after="80"/>
            </w:pPr>
            <w:r>
              <w:rPr>
                <w:rFonts w:ascii="Arial" w:cs="Arial" w:eastAsia="Arial" w:hAnsi="Arial"/>
                <w:sz w:val="20"/>
                <w:szCs w:val="20"/>
              </w:rPr>
              <w:t xml:space="preserve">Preserve section headings in each chunk as metadata. When you retrieve a chunk, you need to know it came from 'RBC 2024 Annual Report - MD&amp;A - Credit Risk' to provide proper citations.</w:t>
            </w:r>
          </w:p>
          <w:p>
            <w:pPr>
              <w:spacing w:after="80"/>
            </w:pPr>
            <w:r>
              <w:rPr>
                <w:rFonts w:ascii="Arial" w:cs="Arial" w:eastAsia="Arial" w:hAnsi="Arial"/>
                <w:sz w:val="20"/>
                <w:szCs w:val="20"/>
              </w:rPr>
              <w:t xml:space="preserve">Handle tables carefully. Financial tables (income statement, balance sheet) should be chunked as complete units, not split across chunks.</w:t>
            </w:r>
          </w:p>
          <w:p>
            <w:pPr>
              <w:spacing w:after="80"/>
            </w:pPr>
            <w:r>
              <w:rPr>
                <w:rFonts w:ascii="Arial" w:cs="Arial" w:eastAsia="Arial" w:hAnsi="Arial"/>
                <w:sz w:val="20"/>
                <w:szCs w:val="20"/>
              </w:rPr>
              <w:t xml:space="preserve">Remove boilerplate text that appears in every filing (legal disclaimers, forward-looking statement warnings). This text adds noise to embeddings and retrieval.</w:t>
            </w:r>
          </w:p>
          <w:p>
            <w:pPr>
              <w:spacing w:after="80"/>
            </w:pPr>
            <w:r>
              <w:rPr>
                <w:rFonts w:ascii="Arial" w:cs="Arial" w:eastAsia="Arial" w:hAnsi="Arial"/>
                <w:sz w:val="20"/>
                <w:szCs w:val="20"/>
              </w:rPr>
              <w:t xml:space="preserve">Canadian bank filings often include both English and French versions. Filter for English during preprocessing unless you are building a bilingual system.</w:t>
            </w:r>
          </w:p>
          <w:p>
            <w:pPr>
              <w:spacing w:after="80"/>
            </w:pPr>
            <w:r>
              <w:rPr>
                <w:rFonts w:ascii="Arial" w:cs="Arial" w:eastAsia="Arial" w:hAnsi="Arial"/>
                <w:sz w:val="20"/>
                <w:szCs w:val="20"/>
              </w:rPr>
              <w:t xml:space="preserve">Consider adding a 'chunk summary' metadata field: use the LLM to generate a 1-sentence summary of each chunk. This can improve retrieval for abstract queries.</w:t>
            </w:r>
          </w:p>
        </w:tc>
      </w:tr>
    </w:tbl>
    <w:p>
      <w:r>
        <w:br w:type="page"/>
      </w:r>
    </w:p>
    <w:p>
      <w:pPr>
        <w:pStyle w:val="Heading1"/>
        <w:spacing w:after="200" w:before="360"/>
      </w:pPr>
      <w:r>
        <w:rPr>
          <w:rFonts w:ascii="Arial" w:cs="Arial" w:eastAsia="Arial" w:hAnsi="Arial"/>
          <w:b/>
          <w:bCs/>
          <w:color w:val="1F3864"/>
          <w:sz w:val="32"/>
          <w:szCs w:val="32"/>
        </w:rPr>
        <w:t xml:space="preserve">Topic 2: Embeddings and Vector Databases</w:t>
      </w:r>
    </w:p>
    <w:p>
      <w:pPr>
        <w:spacing w:after="160"/>
      </w:pPr>
      <w:r>
        <w:rPr>
          <w:rFonts w:ascii="Arial" w:cs="Arial" w:eastAsia="Arial" w:hAnsi="Arial"/>
          <w:sz w:val="22"/>
          <w:szCs w:val="22"/>
        </w:rPr>
        <w:t xml:space="preserve">Embeddings transform text into dense numerical vectors that capture semantic meaning. Vector databases store these embeddings and enable fast similarity search. Together, they form the retrieval component of RAG systems - arguably the most important component, because if you cannot retrieve the right information, no amount of prompt engineering will produce correct answers. This topic covers how embeddings work, how to choose the right embedding model for financial text, and how to set up and query a vector database for Canadian bank filing search.</w:t>
      </w:r>
    </w:p>
    <w:p>
      <w:pPr>
        <w:spacing w:after="120"/>
      </w:pPr>
      <w:r>
        <w:rPr>
          <w:rFonts w:ascii="Arial" w:cs="Arial" w:eastAsia="Arial" w:hAnsi="Arial"/>
          <w:b/>
          <w:bCs/>
          <w:color w:val="1F3864"/>
          <w:sz w:val="22"/>
          <w:szCs w:val="22"/>
        </w:rPr>
        <w:t xml:space="preserve">🎥 Recommended Video Resources</w:t>
      </w:r>
    </w:p>
    <w:p>
      <w:pPr>
        <w:spacing w:after="60"/>
      </w:pPr>
      <w:r>
        <w:rPr>
          <w:rFonts w:ascii="Arial" w:cs="Arial" w:eastAsia="Arial" w:hAnsi="Arial"/>
          <w:sz w:val="20"/>
          <w:szCs w:val="20"/>
        </w:rPr>
        <w:t xml:space="preserve">▶ </w:t>
      </w:r>
      <w:hyperlink w:history="1" r:id="rIdvzj7s5tnysd9n4_erplqq">
        <w:r>
          <w:rPr>
            <w:rStyle w:val="Hyperlink"/>
            <w:rFonts w:ascii="Arial" w:cs="Arial" w:eastAsia="Arial" w:hAnsi="Arial"/>
            <w:sz w:val="20"/>
            <w:szCs w:val="20"/>
          </w:rPr>
          <w:t xml:space="preserve">DeepLearning.AI: Vector Databases from Embeddings to Applications (Weaviate)</w:t>
        </w:r>
      </w:hyperlink>
    </w:p>
    <w:p>
      <w:pPr>
        <w:spacing w:after="60"/>
      </w:pPr>
      <w:r>
        <w:rPr>
          <w:rFonts w:ascii="Arial" w:cs="Arial" w:eastAsia="Arial" w:hAnsi="Arial"/>
          <w:sz w:val="20"/>
          <w:szCs w:val="20"/>
        </w:rPr>
        <w:t xml:space="preserve">▶ </w:t>
      </w:r>
      <w:hyperlink w:history="1" r:id="rId16zakjxnvz3ifbn1tfknx">
        <w:r>
          <w:rPr>
            <w:rStyle w:val="Hyperlink"/>
            <w:rFonts w:ascii="Arial" w:cs="Arial" w:eastAsia="Arial" w:hAnsi="Arial"/>
            <w:sz w:val="20"/>
            <w:szCs w:val="20"/>
          </w:rPr>
          <w:t xml:space="preserve">YouTube: Word Embeddings - Computerphile</w:t>
        </w:r>
      </w:hyperlink>
    </w:p>
    <w:p>
      <w:pPr>
        <w:spacing w:after="60"/>
      </w:pPr>
      <w:r>
        <w:rPr>
          <w:rFonts w:ascii="Arial" w:cs="Arial" w:eastAsia="Arial" w:hAnsi="Arial"/>
          <w:sz w:val="20"/>
          <w:szCs w:val="20"/>
        </w:rPr>
        <w:t xml:space="preserve">▶ </w:t>
      </w:r>
      <w:hyperlink w:history="1" r:id="rIdpc6ypcb6n-8njesqeu2k8">
        <w:r>
          <w:rPr>
            <w:rStyle w:val="Hyperlink"/>
            <w:rFonts w:ascii="Arial" w:cs="Arial" w:eastAsia="Arial" w:hAnsi="Arial"/>
            <w:sz w:val="20"/>
            <w:szCs w:val="20"/>
          </w:rPr>
          <w:t xml:space="preserve">YouTube: Word Embeddings and Word2Vec (Luis Serrano)</w:t>
        </w:r>
      </w:hyperlink>
    </w:p>
    <w:p>
      <w:pPr>
        <w:spacing w:after="60"/>
      </w:pPr>
      <w:r>
        <w:rPr>
          <w:rFonts w:ascii="Arial" w:cs="Arial" w:eastAsia="Arial" w:hAnsi="Arial"/>
          <w:sz w:val="20"/>
          <w:szCs w:val="20"/>
        </w:rPr>
        <w:t xml:space="preserve">▶ </w:t>
      </w:r>
      <w:hyperlink w:history="1" r:id="rIdlulccjcttp7ysr5fll_al">
        <w:r>
          <w:rPr>
            <w:rStyle w:val="Hyperlink"/>
            <w:rFonts w:ascii="Arial" w:cs="Arial" w:eastAsia="Arial" w:hAnsi="Arial"/>
            <w:sz w:val="20"/>
            <w:szCs w:val="20"/>
          </w:rPr>
          <w:t xml:space="preserve">YouTube: ChromaDB Tutorial - Getting Started</w:t>
        </w:r>
      </w:hyperlink>
    </w:p>
    <w:p>
      <w:pPr>
        <w:spacing w:after="120"/>
      </w:pPr>
      <w:r>
        <w:rPr>
          <w:rFonts w:ascii="Arial" w:cs="Arial" w:eastAsia="Arial" w:hAnsi="Arial"/>
          <w:b/>
          <w:bCs/>
          <w:color w:val="1F3864"/>
          <w:sz w:val="22"/>
          <w:szCs w:val="22"/>
        </w:rPr>
        <w:t xml:space="preserve">🌐 Recommended Websites &amp; Reading</w:t>
      </w:r>
    </w:p>
    <w:p>
      <w:pPr>
        <w:spacing w:after="60"/>
      </w:pPr>
      <w:r>
        <w:rPr>
          <w:rFonts w:ascii="Arial" w:cs="Arial" w:eastAsia="Arial" w:hAnsi="Arial"/>
          <w:sz w:val="20"/>
          <w:szCs w:val="20"/>
        </w:rPr>
        <w:t xml:space="preserve">🌐 </w:t>
      </w:r>
      <w:hyperlink w:history="1" r:id="rId1tz59l3oikp4sgd2cdlsc">
        <w:r>
          <w:rPr>
            <w:rStyle w:val="Hyperlink"/>
            <w:rFonts w:ascii="Arial" w:cs="Arial" w:eastAsia="Arial" w:hAnsi="Arial"/>
            <w:sz w:val="20"/>
            <w:szCs w:val="20"/>
          </w:rPr>
          <w:t xml:space="preserve">OpenAI Embeddings Guide (official documentation)</w:t>
        </w:r>
      </w:hyperlink>
    </w:p>
    <w:p>
      <w:pPr>
        <w:spacing w:after="60"/>
      </w:pPr>
      <w:r>
        <w:rPr>
          <w:rFonts w:ascii="Arial" w:cs="Arial" w:eastAsia="Arial" w:hAnsi="Arial"/>
          <w:sz w:val="20"/>
          <w:szCs w:val="20"/>
        </w:rPr>
        <w:t xml:space="preserve">🌐 </w:t>
      </w:r>
      <w:hyperlink w:history="1" r:id="rIdwbgyctllweffcftvaikiq">
        <w:r>
          <w:rPr>
            <w:rStyle w:val="Hyperlink"/>
            <w:rFonts w:ascii="Arial" w:cs="Arial" w:eastAsia="Arial" w:hAnsi="Arial"/>
            <w:sz w:val="20"/>
            <w:szCs w:val="20"/>
          </w:rPr>
          <w:t xml:space="preserve">ChromaDB Documentation (official)</w:t>
        </w:r>
      </w:hyperlink>
    </w:p>
    <w:p>
      <w:pPr>
        <w:spacing w:after="60"/>
      </w:pPr>
      <w:r>
        <w:rPr>
          <w:rFonts w:ascii="Arial" w:cs="Arial" w:eastAsia="Arial" w:hAnsi="Arial"/>
          <w:sz w:val="20"/>
          <w:szCs w:val="20"/>
        </w:rPr>
        <w:t xml:space="preserve">🌐 </w:t>
      </w:r>
      <w:hyperlink w:history="1" r:id="rId8bixnbsvgwcjs_kvq48cg">
        <w:r>
          <w:rPr>
            <w:rStyle w:val="Hyperlink"/>
            <w:rFonts w:ascii="Arial" w:cs="Arial" w:eastAsia="Arial" w:hAnsi="Arial"/>
            <w:sz w:val="20"/>
            <w:szCs w:val="20"/>
          </w:rPr>
          <w:t xml:space="preserve">Sentence-Transformers Documentation (Hugging Face)</w:t>
        </w:r>
      </w:hyperlink>
    </w:p>
    <w:p>
      <w:pPr>
        <w:spacing w:after="60"/>
      </w:pPr>
      <w:r>
        <w:rPr>
          <w:rFonts w:ascii="Arial" w:cs="Arial" w:eastAsia="Arial" w:hAnsi="Arial"/>
          <w:sz w:val="20"/>
          <w:szCs w:val="20"/>
        </w:rPr>
        <w:t xml:space="preserve">🌐 </w:t>
      </w:r>
      <w:hyperlink w:history="1" r:id="rIdutaw95ziovimqzztuldhb">
        <w:r>
          <w:rPr>
            <w:rStyle w:val="Hyperlink"/>
            <w:rFonts w:ascii="Arial" w:cs="Arial" w:eastAsia="Arial" w:hAnsi="Arial"/>
            <w:sz w:val="20"/>
            <w:szCs w:val="20"/>
          </w:rPr>
          <w:t xml:space="preserve">Pinecone Learning Center - What Are Vector Embeddings?</w:t>
        </w:r>
      </w:hyperlink>
    </w:p>
    <w:p>
      <w:pPr>
        <w:spacing w:after="60"/>
      </w:pPr>
      <w:r>
        <w:rPr>
          <w:rFonts w:ascii="Arial" w:cs="Arial" w:eastAsia="Arial" w:hAnsi="Arial"/>
          <w:sz w:val="20"/>
          <w:szCs w:val="20"/>
        </w:rPr>
        <w:t xml:space="preserve">🌐 </w:t>
      </w:r>
      <w:hyperlink w:history="1" r:id="rIdifwo-vq4p9prbeygw26np">
        <w:r>
          <w:rPr>
            <w:rStyle w:val="Hyperlink"/>
            <w:rFonts w:ascii="Arial" w:cs="Arial" w:eastAsia="Arial" w:hAnsi="Arial"/>
            <w:sz w:val="20"/>
            <w:szCs w:val="20"/>
          </w:rPr>
          <w:t xml:space="preserve">MTEB Leaderboard - Embedding model benchmarks</w:t>
        </w:r>
      </w:hyperlink>
    </w:p>
    <w:p>
      <w:pPr>
        <w:spacing w:after="60"/>
      </w:pPr>
      <w:r>
        <w:rPr>
          <w:rFonts w:ascii="Arial" w:cs="Arial" w:eastAsia="Arial" w:hAnsi="Arial"/>
          <w:sz w:val="20"/>
          <w:szCs w:val="20"/>
        </w:rPr>
        <w:t xml:space="preserve">🌐 </w:t>
      </w:r>
      <w:hyperlink w:history="1" r:id="rIds7r-2jhossic1lulhls0m">
        <w:r>
          <w:rPr>
            <w:rStyle w:val="Hyperlink"/>
            <w:rFonts w:ascii="Arial" w:cs="Arial" w:eastAsia="Arial" w:hAnsi="Arial"/>
            <w:sz w:val="20"/>
            <w:szCs w:val="20"/>
          </w:rPr>
          <w:t xml:space="preserve">Weaviate Blog - Distance Metrics in Vector Search</w:t>
        </w:r>
      </w:hyperlink>
    </w:p>
    <w:p>
      <w:pPr>
        <w:pStyle w:val="Heading2"/>
        <w:spacing w:after="160" w:before="280"/>
      </w:pPr>
      <w:r>
        <w:rPr>
          <w:rFonts w:ascii="Arial" w:cs="Arial" w:eastAsia="Arial" w:hAnsi="Arial"/>
          <w:b/>
          <w:bCs/>
          <w:color w:val="1F3864"/>
          <w:sz w:val="28"/>
          <w:szCs w:val="28"/>
        </w:rPr>
        <w:t xml:space="preserve">2.1 Text Embeddings: From Words to Vectors</w:t>
      </w:r>
    </w:p>
    <w:p>
      <w:pPr>
        <w:spacing w:after="160"/>
      </w:pPr>
      <w:r>
        <w:rPr>
          <w:rFonts w:ascii="Arial" w:cs="Arial" w:eastAsia="Arial" w:hAnsi="Arial"/>
          <w:sz w:val="22"/>
          <w:szCs w:val="22"/>
        </w:rPr>
        <w:t xml:space="preserve">A text embedding is a numerical representation of text in a high-dimensional vector space where semantically similar texts are close together. When you embed the sentence 'RBC reported increased credit losses' and 'Royal Bank of Canada saw a rise in loan defaults,' the resulting vectors will be close together in embedding space because they convey the same meaning, even though they use different words. This semantic similarity is what makes embeddings powerful for search: you do not need exact keyword matches to find relevant information.</w:t>
      </w:r>
    </w:p>
    <w:p>
      <w:pPr>
        <w:spacing w:after="160"/>
      </w:pPr>
      <w:r>
        <w:rPr>
          <w:rFonts w:ascii="Arial" w:cs="Arial" w:eastAsia="Arial" w:hAnsi="Arial"/>
          <w:sz w:val="22"/>
          <w:szCs w:val="22"/>
        </w:rPr>
        <w:t xml:space="preserve">Modern embedding models (OpenAI text-embedding-3-small, Sentence-Transformers all-MiniLM-L6-v2) produce fixed-size vectors regardless of input length. OpenAI's model produces 1536-dimensional vectors, meaning each piece of text is represented as a point in a 1536-dimensional space. Sentence-Transformers' all-MiniLM-L6-v2 produces 384-dimensional vectors. The embedding captures the semantic essence of the text. Short texts ('credit risk') and long paragraphs (a full credit risk disclosure) both become fixed-size vectors, but longer texts generally produce higher-quality embeddings because the model has more context to work with.</w:t>
      </w:r>
    </w:p>
    <w:p>
      <w:pPr>
        <w:spacing w:after="160"/>
      </w:pPr>
      <w:r>
        <w:rPr>
          <w:rFonts w:ascii="Arial" w:cs="Arial" w:eastAsia="Arial" w:hAnsi="Arial"/>
          <w:sz w:val="22"/>
          <w:szCs w:val="22"/>
        </w:rPr>
        <w:t xml:space="preserve">Cosine similarity is the standard metric for comparing embeddings. It computes the cosine of the angle between two vectors: values close to 1 indicate high similarity (the vectors point in the same direction), values near 0 indicate no similarity (the vectors are orthogonal), and values near -1 indicate opposite meaning. In practice, most embedding similarities for related financial text fall in the 0.6-0.9 range. A similarity of 0.85 between a query about 'mortgage default risk' and a chunk about 'residential lending credit losses' indicates strong relevance.</w:t>
      </w:r>
    </w:p>
    <w:p>
      <w:pPr>
        <w:spacing w:after="160"/>
      </w:pPr>
      <w:r>
        <w:rPr>
          <w:rFonts w:ascii="Arial" w:cs="Arial" w:eastAsia="Arial" w:hAnsi="Arial"/>
          <w:sz w:val="22"/>
          <w:szCs w:val="22"/>
        </w:rPr>
        <w:t xml:space="preserve">A critical concept is that embeddings capture semantic relationships, not just surface-level word overlap. The embedding for 'OSFI raised concerns about commercial real estate exposure' will be similar to 'the regulator flagged CRE concentration risk' even though the two sentences share almost no words. This is because the embedding model learned during training that 'OSFI' and 'the regulator' refer to the same concept in Canadian banking context, and 'raised concerns' and 'flagged' express similar actions. This semantic matching is what makes embedding-based retrieval far superior to keyword search for compliance applications.</w:t>
      </w:r>
    </w:p>
    <w:p>
      <w:pPr>
        <w:spacing w:after="160"/>
      </w:pPr>
      <w:r>
        <w:rPr>
          <w:rFonts w:ascii="Arial" w:cs="Arial" w:eastAsia="Arial" w:hAnsi="Arial"/>
          <w:b/>
          <w:bCs/>
          <w:sz w:val="22"/>
          <w:szCs w:val="22"/>
        </w:rPr>
        <w:t xml:space="preserve">Choosing an Embedding Model</w:t>
      </w:r>
    </w:p>
    <w:p>
      <w:pPr>
        <w:spacing w:after="160"/>
      </w:pPr>
      <w:r>
        <w:rPr>
          <w:rFonts w:ascii="Arial" w:cs="Arial" w:eastAsia="Arial" w:hAnsi="Arial"/>
          <w:sz w:val="22"/>
          <w:szCs w:val="22"/>
        </w:rPr>
        <w:t xml:space="preserve">The choice of embedding model affects both quality and cost. OpenAI's text-embedding-3-small costs approximately $0.02 per million tokens and produces high-quality embeddings for English financial text. It runs on OpenAI's servers, meaning your text leaves your infrastructure (a compliance consideration under OSFI B-10). OpenAI's text-embedding-3-large costs $0.13 per million tokens and produces 3072-dimensional vectors with modestly better quality. Sentence-Transformers models (all-MiniLM-L6-v2, all-mpnet-base-v2) are free and run locally on your hardware, meaning no data leaves your network. However, they may produce lower-quality results for domain-specific financial terminology because they were trained on general-purpose text.</w:t>
      </w:r>
    </w:p>
    <w:p>
      <w:pPr>
        <w:spacing w:after="160"/>
      </w:pPr>
      <w:r>
        <w:rPr>
          <w:rFonts w:ascii="Arial" w:cs="Arial" w:eastAsia="Arial" w:hAnsi="Arial"/>
          <w:sz w:val="22"/>
          <w:szCs w:val="22"/>
        </w:rPr>
        <w:t xml:space="preserve">For development and prototyping, use a local model (all-MiniLM-L6-v2) to avoid API costs and data transfer concerns. Switch to OpenAI embeddings for production if retrieval quality improves meaningfully on your test set. See demos/02_embedding_comparison.py for a side-by-side comparison on Canadian bank filing excerpts, including retrieval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Embedding Models for Financial Text</w:t>
            </w:r>
          </w:p>
          <w:p>
            <w:pPr>
              <w:spacing w:after="80"/>
            </w:pPr>
            <w:r>
              <w:rPr>
                <w:rFonts w:ascii="Arial" w:cs="Arial" w:eastAsia="Arial" w:hAnsi="Arial"/>
                <w:sz w:val="20"/>
                <w:szCs w:val="20"/>
              </w:rPr>
              <w:t xml:space="preserve">Test embedding quality on YOUR data before committing to a model. Financial jargon ('PCL,' 'NSFR,' 'AIRB approach') may not be well-represented in general-purpose embeddings.</w:t>
            </w:r>
          </w:p>
          <w:p>
            <w:pPr>
              <w:spacing w:after="80"/>
            </w:pPr>
            <w:r>
              <w:rPr>
                <w:rFonts w:ascii="Arial" w:cs="Arial" w:eastAsia="Arial" w:hAnsi="Arial"/>
                <w:sz w:val="20"/>
                <w:szCs w:val="20"/>
              </w:rPr>
              <w:t xml:space="preserve">For development, use a local model (all-MiniLM-L6-v2) to avoid API costs. Switch to OpenAI embeddings for production if quality improves.</w:t>
            </w:r>
          </w:p>
          <w:p>
            <w:pPr>
              <w:spacing w:after="80"/>
            </w:pPr>
            <w:r>
              <w:rPr>
                <w:rFonts w:ascii="Arial" w:cs="Arial" w:eastAsia="Arial" w:hAnsi="Arial"/>
                <w:sz w:val="20"/>
                <w:szCs w:val="20"/>
              </w:rPr>
              <w:t xml:space="preserve">Embed chunks, not entire documents. A 400-page annual report compressed into a single 1536-dimensional vector loses almost all specific information.</w:t>
            </w:r>
          </w:p>
          <w:p>
            <w:pPr>
              <w:spacing w:after="80"/>
            </w:pPr>
            <w:r>
              <w:rPr>
                <w:rFonts w:ascii="Arial" w:cs="Arial" w:eastAsia="Arial" w:hAnsi="Arial"/>
                <w:sz w:val="20"/>
                <w:szCs w:val="20"/>
              </w:rPr>
              <w:t xml:space="preserve">Normalize embeddings before storage. Most vector databases do this automatically, but verify.</w:t>
            </w:r>
          </w:p>
          <w:p>
            <w:pPr>
              <w:spacing w:after="80"/>
            </w:pPr>
            <w:r>
              <w:rPr>
                <w:rFonts w:ascii="Arial" w:cs="Arial" w:eastAsia="Arial" w:hAnsi="Arial"/>
                <w:sz w:val="20"/>
                <w:szCs w:val="20"/>
              </w:rPr>
              <w:t xml:space="preserve">The embedding model must be the same at indexing time and query time. If you embed chunks with OpenAI and query with MiniLM, similarity scores are meaningless.</w:t>
            </w:r>
          </w:p>
          <w:p>
            <w:pPr>
              <w:spacing w:after="80"/>
            </w:pPr>
            <w:r>
              <w:rPr>
                <w:rFonts w:ascii="Arial" w:cs="Arial" w:eastAsia="Arial" w:hAnsi="Arial"/>
                <w:sz w:val="20"/>
                <w:szCs w:val="20"/>
              </w:rPr>
              <w:t xml:space="preserve">Consider fine-tuning an embedding model on financial text if general-purpose models produce poor retrieval quality. Sentence-Transformers supports fine-tuning with your own training pairs.</w:t>
            </w:r>
          </w:p>
        </w:tc>
      </w:tr>
    </w:tbl>
    <w:p>
      <w:pPr>
        <w:pStyle w:val="Heading2"/>
        <w:spacing w:after="160" w:before="280"/>
      </w:pPr>
      <w:r>
        <w:rPr>
          <w:rFonts w:ascii="Arial" w:cs="Arial" w:eastAsia="Arial" w:hAnsi="Arial"/>
          <w:b/>
          <w:bCs/>
          <w:color w:val="1F3864"/>
          <w:sz w:val="28"/>
          <w:szCs w:val="28"/>
        </w:rPr>
        <w:t xml:space="preserve">2.2 Vector Databases: ChromaDB for Filing Search</w:t>
      </w:r>
    </w:p>
    <w:p>
      <w:pPr>
        <w:spacing w:after="160"/>
      </w:pPr>
      <w:r>
        <w:rPr>
          <w:rFonts w:ascii="Arial" w:cs="Arial" w:eastAsia="Arial" w:hAnsi="Arial"/>
          <w:sz w:val="22"/>
          <w:szCs w:val="22"/>
        </w:rPr>
        <w:t xml:space="preserve">A vector database stores embeddings alongside metadata and enables fast similarity search. When an analyst asks 'What are RBC's credit risk factors?', the system embeds the question, searches the vector database for the most similar filing chunks, and returns the top results. ChromaDB is an open-source vector database that runs locally, requires no setup, and is ideal for prototyping. For production deployments, Pinecone, Weaviate, and Databricks Vector Search offer managed, scalable alternatives.</w:t>
      </w:r>
    </w:p>
    <w:p>
      <w:pPr>
        <w:spacing w:after="160"/>
      </w:pPr>
      <w:r>
        <w:rPr>
          <w:rFonts w:ascii="Arial" w:cs="Arial" w:eastAsia="Arial" w:hAnsi="Arial"/>
          <w:sz w:val="22"/>
          <w:szCs w:val="22"/>
        </w:rPr>
        <w:t xml:space="preserve">ChromaDB stores documents as collections, each containing document text, embeddings, metadata, and unique IDs. The metadata is particularly important for financial applications: each chunk should be tagged with the bank name, document type, fiscal year, quarter, and section name. This enables filtered search ('find chunks similar to my query, but only from RBC's 2024 annual report'), which is essential for compliance workflows where you need information from a specific filing, not just any filing that mentions similar topics.</w:t>
      </w:r>
    </w:p>
    <w:p>
      <w:pPr>
        <w:spacing w:after="160"/>
      </w:pPr>
      <w:r>
        <w:rPr>
          <w:rFonts w:ascii="Arial" w:cs="Arial" w:eastAsia="Arial" w:hAnsi="Arial"/>
          <w:sz w:val="22"/>
          <w:szCs w:val="22"/>
        </w:rPr>
        <w:t xml:space="preserve">Under the hood, vector databases use Approximate Nearest Neighbor (ANN) algorithms to search through millions of vectors efficiently. The most common algorithm is HNSW (Hierarchical Navigable Small World), which builds a graph structure that allows fast traversal from any starting point to the nearest neighbors of a query vector. The trade-off is memory: HNSW requires storing the entire graph in memory, which means your vector database's memory footprint grows linearly with the number of chunks. For a typical capstone project with 5,000-10,000 chunks, this is trivial. For production systems with millions of chunks, memory management becomes a significant architectural concern.</w:t>
      </w:r>
    </w:p>
    <w:p>
      <w:pPr>
        <w:spacing w:after="160"/>
      </w:pPr>
      <w:r>
        <w:rPr>
          <w:rFonts w:ascii="Arial" w:cs="Arial" w:eastAsia="Arial" w:hAnsi="Arial"/>
          <w:sz w:val="22"/>
          <w:szCs w:val="22"/>
        </w:rPr>
        <w:t xml:space="preserve">See demos/03_retrieval_strategies.py for a complete ChromaDB setup with multiple retrieval strategies and Canadian bank filing metadata.</w:t>
      </w:r>
    </w:p>
    <w:p>
      <w:pPr>
        <w:pStyle w:val="Heading2"/>
        <w:spacing w:after="160" w:before="280"/>
      </w:pPr>
      <w:r>
        <w:rPr>
          <w:rFonts w:ascii="Arial" w:cs="Arial" w:eastAsia="Arial" w:hAnsi="Arial"/>
          <w:b/>
          <w:bCs/>
          <w:color w:val="1F3864"/>
          <w:sz w:val="28"/>
          <w:szCs w:val="28"/>
        </w:rPr>
        <w:t xml:space="preserve">2.3 Retrieval Strategies: Beyond Simple Top-k</w:t>
      </w:r>
    </w:p>
    <w:p>
      <w:pPr>
        <w:spacing w:after="160"/>
      </w:pPr>
      <w:r>
        <w:rPr>
          <w:rFonts w:ascii="Arial" w:cs="Arial" w:eastAsia="Arial" w:hAnsi="Arial"/>
          <w:sz w:val="22"/>
          <w:szCs w:val="22"/>
        </w:rPr>
        <w:t xml:space="preserve">Top-k retrieval returns the k most similar chunks to the query. This is the simplest approach and works well for focused questions ('What was TD's net income in Q4 2024?'). However, it can return redundant results: if 5 chunks from the same section all discuss credit risk, you get the same information repeated 5 times instead of a diverse set of relevant chunks. For broad compliance questions, redundant retrieval wastes context window space and reduces answer quality.</w:t>
      </w:r>
    </w:p>
    <w:p>
      <w:pPr>
        <w:spacing w:after="160"/>
      </w:pPr>
      <w:r>
        <w:rPr>
          <w:rFonts w:ascii="Arial" w:cs="Arial" w:eastAsia="Arial" w:hAnsi="Arial"/>
          <w:sz w:val="22"/>
          <w:szCs w:val="22"/>
        </w:rPr>
        <w:t xml:space="preserve">Maximal Marginal Relevance (MMR) balances relevance with diversity. It iteratively selects chunks that are similar to the query but dissimilar to chunks already selected. The lambda parameter controls the trade-off: lambda=1.0 is pure relevance (equivalent to top-k), lambda=0.0 is pure diversity (maximize differences between selected chunks), and lambda=0.5-0.7 is a good default for most compliance applications. This is especially valuable for broad questions ('Tell me about BMO's risk management framework') where you want coverage across multiple risk categories.</w:t>
      </w:r>
    </w:p>
    <w:p>
      <w:pPr>
        <w:spacing w:after="160"/>
      </w:pPr>
      <w:r>
        <w:rPr>
          <w:rFonts w:ascii="Arial" w:cs="Arial" w:eastAsia="Arial" w:hAnsi="Arial"/>
          <w:sz w:val="22"/>
          <w:szCs w:val="22"/>
        </w:rPr>
        <w:t xml:space="preserve">Metadata filtering narrows the search space before computing similarity. For compliance workflows, this is essential: 'What new risks did CIBC disclose in their 2024 annual report?' should only search chunks from CIBC's 2024 annual report, not all filings in the database. Combining metadata filtering with top-k or MMR gives you precise, relevant results from the correct source documents.</w:t>
      </w:r>
    </w:p>
    <w:p>
      <w:pPr>
        <w:spacing w:after="160"/>
      </w:pPr>
      <w:r>
        <w:rPr>
          <w:rFonts w:ascii="Arial" w:cs="Arial" w:eastAsia="Arial" w:hAnsi="Arial"/>
          <w:sz w:val="22"/>
          <w:szCs w:val="22"/>
        </w:rPr>
        <w:t xml:space="preserve">Hybrid search combines vector similarity with keyword matching. Some queries contain specific terms (company names, regulatory references, financial metrics) that benefit from exact keyword matching, while the overall query intent benefits from semantic similarity. Hybrid search computes both a vector similarity score and a BM25 keyword relevance score, then combines them using a weighted average. This is particularly useful for financial queries that reference specific numbers or regulatory guideline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Retrieval for Financial RAG</w:t>
            </w:r>
          </w:p>
          <w:p>
            <w:pPr>
              <w:spacing w:after="80"/>
            </w:pPr>
            <w:r>
              <w:rPr>
                <w:rFonts w:ascii="Arial" w:cs="Arial" w:eastAsia="Arial" w:hAnsi="Arial"/>
                <w:sz w:val="20"/>
                <w:szCs w:val="20"/>
              </w:rPr>
              <w:t xml:space="preserve">Always include the bank name, document type, and period in your metadata. Without metadata filtering, the system cannot distinguish between RBC's 2024 annual report and BMO's 2023 quarterly filing.</w:t>
            </w:r>
          </w:p>
          <w:p>
            <w:pPr>
              <w:spacing w:after="80"/>
            </w:pPr>
            <w:r>
              <w:rPr>
                <w:rFonts w:ascii="Arial" w:cs="Arial" w:eastAsia="Arial" w:hAnsi="Arial"/>
                <w:sz w:val="20"/>
                <w:szCs w:val="20"/>
              </w:rPr>
              <w:t xml:space="preserve">Retrieve more chunks than you think you need (k=5-10), then let the LLM synthesize. Retrieving too few chunks (k=1-2) risks missing important context.</w:t>
            </w:r>
          </w:p>
          <w:p>
            <w:pPr>
              <w:spacing w:after="80"/>
            </w:pPr>
            <w:r>
              <w:rPr>
                <w:rFonts w:ascii="Arial" w:cs="Arial" w:eastAsia="Arial" w:hAnsi="Arial"/>
                <w:sz w:val="20"/>
                <w:szCs w:val="20"/>
              </w:rPr>
              <w:t xml:space="preserve">Use MMR (lambda=0.7) for broad questions and top-k for specific factual questions.</w:t>
            </w:r>
          </w:p>
          <w:p>
            <w:pPr>
              <w:spacing w:after="80"/>
            </w:pPr>
            <w:r>
              <w:rPr>
                <w:rFonts w:ascii="Arial" w:cs="Arial" w:eastAsia="Arial" w:hAnsi="Arial"/>
                <w:sz w:val="20"/>
                <w:szCs w:val="20"/>
              </w:rPr>
              <w:t xml:space="preserve">Test retrieval quality BEFORE building the full RAG pipeline. If the retriever cannot find the right chunks, no amount of prompt engineering will fix the answer.</w:t>
            </w:r>
          </w:p>
          <w:p>
            <w:pPr>
              <w:spacing w:after="80"/>
            </w:pPr>
            <w:r>
              <w:rPr>
                <w:rFonts w:ascii="Arial" w:cs="Arial" w:eastAsia="Arial" w:hAnsi="Arial"/>
                <w:sz w:val="20"/>
                <w:szCs w:val="20"/>
              </w:rPr>
              <w:t xml:space="preserve">Log every retrieval result for debugging. When the RAG system gives a wrong answer, the first question is: 'Did the retriever find the right chunks?'</w:t>
            </w:r>
          </w:p>
          <w:p>
            <w:pPr>
              <w:spacing w:after="80"/>
            </w:pPr>
            <w:r>
              <w:rPr>
                <w:rFonts w:ascii="Arial" w:cs="Arial" w:eastAsia="Arial" w:hAnsi="Arial"/>
                <w:sz w:val="20"/>
                <w:szCs w:val="20"/>
              </w:rPr>
              <w:t xml:space="preserve">Set a minimum similarity threshold (e.g., 0.3). If no chunks exceed the threshold, return 'No relevant information found' rather than low-quality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60"/>
              <w:left w:type="dxa" w:w="200"/>
              <w:bottom w:type="dxa" w:w="160"/>
              <w:right w:type="dxa" w:w="200"/>
            </w:tcMar>
          </w:tcPr>
          <w:p>
            <w:pPr>
              <w:spacing w:after="120"/>
            </w:pPr>
            <w:r>
              <w:rPr>
                <w:rFonts w:ascii="Arial" w:cs="Arial" w:eastAsia="Arial" w:hAnsi="Arial"/>
                <w:b/>
                <w:bCs/>
                <w:sz w:val="22"/>
                <w:szCs w:val="22"/>
              </w:rPr>
              <w:t xml:space="preserve">🏗️ Capstone Step 2: Embedding Generation &amp; Vector Store Setup</w:t>
            </w:r>
          </w:p>
          <w:p>
            <w:pPr>
              <w:spacing w:after="80"/>
            </w:pPr>
            <w:r>
              <w:rPr>
                <w:rFonts w:ascii="Arial" w:cs="Arial" w:eastAsia="Arial" w:hAnsi="Arial"/>
                <w:sz w:val="20"/>
                <w:szCs w:val="20"/>
              </w:rPr>
              <w:t xml:space="preserve">Objective: Generate embeddings for all filing chunks and set up a ChromaDB collection with metadata for efficient retrieval.</w:t>
            </w:r>
          </w:p>
          <w:p>
            <w:pPr>
              <w:spacing w:after="80"/>
            </w:pPr>
            <w:r>
              <w:rPr>
                <w:rFonts w:ascii="Arial" w:cs="Arial" w:eastAsia="Arial" w:hAnsi="Arial"/>
                <w:sz w:val="20"/>
                <w:szCs w:val="20"/>
              </w:rPr>
              <w:t xml:space="preserve">What to do:</w:t>
            </w:r>
          </w:p>
          <w:p>
            <w:pPr>
              <w:spacing w:after="80"/>
            </w:pPr>
            <w:r>
              <w:rPr>
                <w:rFonts w:ascii="Arial" w:cs="Arial" w:eastAsia="Arial" w:hAnsi="Arial"/>
                <w:sz w:val="20"/>
                <w:szCs w:val="20"/>
              </w:rPr>
              <w:t xml:space="preserve">1. Choose an embedding model. Start with all-MiniLM-L6-v2 (free, local) and optionally compare with OpenAI text-embedding-3-small.</w:t>
            </w:r>
          </w:p>
          <w:p>
            <w:pPr>
              <w:spacing w:after="80"/>
            </w:pPr>
            <w:r>
              <w:rPr>
                <w:rFonts w:ascii="Arial" w:cs="Arial" w:eastAsia="Arial" w:hAnsi="Arial"/>
                <w:sz w:val="20"/>
                <w:szCs w:val="20"/>
              </w:rPr>
              <w:t xml:space="preserve">2. Embed all chunks from Step 1. Record time and cost (if using OpenAI).</w:t>
            </w:r>
          </w:p>
          <w:p>
            <w:pPr>
              <w:spacing w:after="80"/>
            </w:pPr>
            <w:r>
              <w:rPr>
                <w:rFonts w:ascii="Arial" w:cs="Arial" w:eastAsia="Arial" w:hAnsi="Arial"/>
                <w:sz w:val="20"/>
                <w:szCs w:val="20"/>
              </w:rPr>
              <w:t xml:space="preserve">3. Create a ChromaDB collection with metadata fields: bank, document_type, fiscal_year, quarter, section.</w:t>
            </w:r>
          </w:p>
          <w:p>
            <w:pPr>
              <w:spacing w:after="80"/>
            </w:pPr>
            <w:r>
              <w:rPr>
                <w:rFonts w:ascii="Arial" w:cs="Arial" w:eastAsia="Arial" w:hAnsi="Arial"/>
                <w:sz w:val="20"/>
                <w:szCs w:val="20"/>
              </w:rPr>
              <w:t xml:space="preserve">4. Insert all embedded chunks into ChromaDB with metadata.</w:t>
            </w:r>
          </w:p>
          <w:p>
            <w:pPr>
              <w:spacing w:after="80"/>
            </w:pPr>
            <w:r>
              <w:rPr>
                <w:rFonts w:ascii="Arial" w:cs="Arial" w:eastAsia="Arial" w:hAnsi="Arial"/>
                <w:sz w:val="20"/>
                <w:szCs w:val="20"/>
              </w:rPr>
              <w:t xml:space="preserve">5. Test retrieval with 10 sample queries covering different banks, risk types, and time periods. For each query, retrieve top-5 and top-5 MMR results.</w:t>
            </w:r>
          </w:p>
          <w:p>
            <w:pPr>
              <w:spacing w:after="80"/>
            </w:pPr>
            <w:r>
              <w:rPr>
                <w:rFonts w:ascii="Arial" w:cs="Arial" w:eastAsia="Arial" w:hAnsi="Arial"/>
                <w:sz w:val="20"/>
                <w:szCs w:val="20"/>
              </w:rPr>
              <w:t xml:space="preserve">6. Evaluate retrieval quality: for each test query, manually check whether the top-3 results contain the relevant information. Report precision@3.</w:t>
            </w:r>
          </w:p>
          <w:p>
            <w:pPr>
              <w:spacing w:after="80"/>
            </w:pPr>
            <w:r>
              <w:rPr>
                <w:rFonts w:ascii="Arial" w:cs="Arial" w:eastAsia="Arial" w:hAnsi="Arial"/>
                <w:sz w:val="20"/>
                <w:szCs w:val="20"/>
              </w:rPr>
              <w:t xml:space="preserve">7. Test metadata filtering: retrieve credit risk chunks from RBC only, then from all banks. Compare result quality.</w:t>
            </w:r>
          </w:p>
          <w:p>
            <w:pPr>
              <w:spacing w:after="80"/>
            </w:pPr>
            <w:r>
              <w:rPr>
                <w:rFonts w:ascii="Arial" w:cs="Arial" w:eastAsia="Arial" w:hAnsi="Arial"/>
                <w:sz w:val="20"/>
                <w:szCs w:val="20"/>
              </w:rPr>
              <w:t xml:space="preserve">8. If using both local and OpenAI embeddings, compare retrieval precision on the same test queries. Which model finds the right chunks more often?</w:t>
            </w:r>
          </w:p>
          <w:p>
            <w:pPr>
              <w:spacing w:after="80"/>
            </w:pPr>
            <w:r>
              <w:rPr>
                <w:rFonts w:ascii="Arial" w:cs="Arial" w:eastAsia="Arial" w:hAnsi="Arial"/>
                <w:sz w:val="20"/>
                <w:szCs w:val="20"/>
              </w:rPr>
              <w:t xml:space="preserve">Deliverable: 02_embedding_vectordb.ipynb with embedding analysis, ChromaDB setup, retrieval tests, and precision report.</w:t>
            </w:r>
          </w:p>
        </w:tc>
      </w:tr>
    </w:tbl>
    <w:p>
      <w:r>
        <w:br w:type="page"/>
      </w:r>
    </w:p>
    <w:p>
      <w:pPr>
        <w:pStyle w:val="Heading1"/>
        <w:spacing w:after="200" w:before="360"/>
      </w:pPr>
      <w:r>
        <w:rPr>
          <w:rFonts w:ascii="Arial" w:cs="Arial" w:eastAsia="Arial" w:hAnsi="Arial"/>
          <w:b/>
          <w:bCs/>
          <w:color w:val="1F3864"/>
          <w:sz w:val="32"/>
          <w:szCs w:val="32"/>
        </w:rPr>
        <w:t xml:space="preserve">Topic 3: Prompt Engineering for Financial RAG</w:t>
      </w:r>
    </w:p>
    <w:p>
      <w:pPr>
        <w:spacing w:after="160"/>
      </w:pPr>
      <w:r>
        <w:rPr>
          <w:rFonts w:ascii="Arial" w:cs="Arial" w:eastAsia="Arial" w:hAnsi="Arial"/>
          <w:sz w:val="22"/>
          <w:szCs w:val="22"/>
        </w:rPr>
        <w:t xml:space="preserve">Prompt engineering is the art and science of crafting inputs to LLMs that produce accurate, relevant, and well-structured outputs. In RAG systems, prompt engineering determines how effectively the model uses the retrieved context to answer questions. Poor prompts produce vague, hallucinated, or unfocused answers even when the retriever provides excellent context. This topic covers the prompting techniques most relevant to financial compliance applications, with emphasis on techniques that reduce hallucination and improve citation quality.</w:t>
      </w:r>
    </w:p>
    <w:p>
      <w:pPr>
        <w:spacing w:after="120"/>
      </w:pPr>
      <w:r>
        <w:rPr>
          <w:rFonts w:ascii="Arial" w:cs="Arial" w:eastAsia="Arial" w:hAnsi="Arial"/>
          <w:b/>
          <w:bCs/>
          <w:color w:val="1F3864"/>
          <w:sz w:val="22"/>
          <w:szCs w:val="22"/>
        </w:rPr>
        <w:t xml:space="preserve">🎥 Recommended Video Resources</w:t>
      </w:r>
    </w:p>
    <w:p>
      <w:pPr>
        <w:spacing w:after="60"/>
      </w:pPr>
      <w:r>
        <w:rPr>
          <w:rFonts w:ascii="Arial" w:cs="Arial" w:eastAsia="Arial" w:hAnsi="Arial"/>
          <w:sz w:val="20"/>
          <w:szCs w:val="20"/>
        </w:rPr>
        <w:t xml:space="preserve">▶ </w:t>
      </w:r>
      <w:hyperlink w:history="1" r:id="rIdvsj1ju_50tv2qcrgss5nb">
        <w:r>
          <w:rPr>
            <w:rStyle w:val="Hyperlink"/>
            <w:rFonts w:ascii="Arial" w:cs="Arial" w:eastAsia="Arial" w:hAnsi="Arial"/>
            <w:sz w:val="20"/>
            <w:szCs w:val="20"/>
          </w:rPr>
          <w:t xml:space="preserve">DeepLearning.AI: ChatGPT Prompt Engineering for Developers</w:t>
        </w:r>
      </w:hyperlink>
    </w:p>
    <w:p>
      <w:pPr>
        <w:spacing w:after="60"/>
      </w:pPr>
      <w:r>
        <w:rPr>
          <w:rFonts w:ascii="Arial" w:cs="Arial" w:eastAsia="Arial" w:hAnsi="Arial"/>
          <w:sz w:val="20"/>
          <w:szCs w:val="20"/>
        </w:rPr>
        <w:t xml:space="preserve">▶ </w:t>
      </w:r>
      <w:hyperlink w:history="1" r:id="rIdxn6nq6apz_hit-ktfu3im">
        <w:r>
          <w:rPr>
            <w:rStyle w:val="Hyperlink"/>
            <w:rFonts w:ascii="Arial" w:cs="Arial" w:eastAsia="Arial" w:hAnsi="Arial"/>
            <w:sz w:val="20"/>
            <w:szCs w:val="20"/>
          </w:rPr>
          <w:t xml:space="preserve">YouTube: Master Prompt Engineering (Full Course, freeCodeCamp)</w:t>
        </w:r>
      </w:hyperlink>
    </w:p>
    <w:p>
      <w:pPr>
        <w:spacing w:after="60"/>
      </w:pPr>
      <w:r>
        <w:rPr>
          <w:rFonts w:ascii="Arial" w:cs="Arial" w:eastAsia="Arial" w:hAnsi="Arial"/>
          <w:sz w:val="20"/>
          <w:szCs w:val="20"/>
        </w:rPr>
        <w:t xml:space="preserve">▶ </w:t>
      </w:r>
      <w:hyperlink w:history="1" r:id="rIdweyfqgbh84hkrljstvsqr">
        <w:r>
          <w:rPr>
            <w:rStyle w:val="Hyperlink"/>
            <w:rFonts w:ascii="Arial" w:cs="Arial" w:eastAsia="Arial" w:hAnsi="Arial"/>
            <w:sz w:val="20"/>
            <w:szCs w:val="20"/>
          </w:rPr>
          <w:t xml:space="preserve">YouTube: Advanced Prompt Engineering (Lilian Weng talk)</w:t>
        </w:r>
      </w:hyperlink>
    </w:p>
    <w:p>
      <w:pPr>
        <w:spacing w:after="60"/>
      </w:pPr>
      <w:r>
        <w:rPr>
          <w:rFonts w:ascii="Arial" w:cs="Arial" w:eastAsia="Arial" w:hAnsi="Arial"/>
          <w:sz w:val="20"/>
          <w:szCs w:val="20"/>
        </w:rPr>
        <w:t xml:space="preserve">▶ </w:t>
      </w:r>
      <w:hyperlink w:history="1" r:id="rIdfkj9djzphzkmujmqatdjq">
        <w:r>
          <w:rPr>
            <w:rStyle w:val="Hyperlink"/>
            <w:rFonts w:ascii="Arial" w:cs="Arial" w:eastAsia="Arial" w:hAnsi="Arial"/>
            <w:sz w:val="20"/>
            <w:szCs w:val="20"/>
          </w:rPr>
          <w:t xml:space="preserve">YouTube: Prompt Engineering Tutorial (Cobus Greyling)</w:t>
        </w:r>
      </w:hyperlink>
    </w:p>
    <w:p>
      <w:pPr>
        <w:spacing w:after="120"/>
      </w:pPr>
      <w:r>
        <w:rPr>
          <w:rFonts w:ascii="Arial" w:cs="Arial" w:eastAsia="Arial" w:hAnsi="Arial"/>
          <w:b/>
          <w:bCs/>
          <w:color w:val="1F3864"/>
          <w:sz w:val="22"/>
          <w:szCs w:val="22"/>
        </w:rPr>
        <w:t xml:space="preserve">🌐 Recommended Websites &amp; Reading</w:t>
      </w:r>
    </w:p>
    <w:p>
      <w:pPr>
        <w:spacing w:after="60"/>
      </w:pPr>
      <w:r>
        <w:rPr>
          <w:rFonts w:ascii="Arial" w:cs="Arial" w:eastAsia="Arial" w:hAnsi="Arial"/>
          <w:sz w:val="20"/>
          <w:szCs w:val="20"/>
        </w:rPr>
        <w:t xml:space="preserve">🌐 </w:t>
      </w:r>
      <w:hyperlink w:history="1" r:id="rIdwkx0x5fd2pful8yf-sqpz">
        <w:r>
          <w:rPr>
            <w:rStyle w:val="Hyperlink"/>
            <w:rFonts w:ascii="Arial" w:cs="Arial" w:eastAsia="Arial" w:hAnsi="Arial"/>
            <w:sz w:val="20"/>
            <w:szCs w:val="20"/>
          </w:rPr>
          <w:t xml:space="preserve">OpenAI Prompt Engineering Guide (official best practices)</w:t>
        </w:r>
      </w:hyperlink>
    </w:p>
    <w:p>
      <w:pPr>
        <w:spacing w:after="60"/>
      </w:pPr>
      <w:r>
        <w:rPr>
          <w:rFonts w:ascii="Arial" w:cs="Arial" w:eastAsia="Arial" w:hAnsi="Arial"/>
          <w:sz w:val="20"/>
          <w:szCs w:val="20"/>
        </w:rPr>
        <w:t xml:space="preserve">🌐 </w:t>
      </w:r>
      <w:hyperlink w:history="1" r:id="rIddtiwurzvu7vpnydlybvxt">
        <w:r>
          <w:rPr>
            <w:rStyle w:val="Hyperlink"/>
            <w:rFonts w:ascii="Arial" w:cs="Arial" w:eastAsia="Arial" w:hAnsi="Arial"/>
            <w:sz w:val="20"/>
            <w:szCs w:val="20"/>
          </w:rPr>
          <w:t xml:space="preserve">Anthropic Prompt Engineering Documentation</w:t>
        </w:r>
      </w:hyperlink>
    </w:p>
    <w:p>
      <w:pPr>
        <w:spacing w:after="60"/>
      </w:pPr>
      <w:r>
        <w:rPr>
          <w:rFonts w:ascii="Arial" w:cs="Arial" w:eastAsia="Arial" w:hAnsi="Arial"/>
          <w:sz w:val="20"/>
          <w:szCs w:val="20"/>
        </w:rPr>
        <w:t xml:space="preserve">🌐 </w:t>
      </w:r>
      <w:hyperlink w:history="1" r:id="rIdbhfzijtvricfnbuhpezdk">
        <w:r>
          <w:rPr>
            <w:rStyle w:val="Hyperlink"/>
            <w:rFonts w:ascii="Arial" w:cs="Arial" w:eastAsia="Arial" w:hAnsi="Arial"/>
            <w:sz w:val="20"/>
            <w:szCs w:val="20"/>
          </w:rPr>
          <w:t xml:space="preserve">Microsoft Azure - Prompt Engineering Techniques</w:t>
        </w:r>
      </w:hyperlink>
    </w:p>
    <w:p>
      <w:pPr>
        <w:spacing w:after="60"/>
      </w:pPr>
      <w:r>
        <w:rPr>
          <w:rFonts w:ascii="Arial" w:cs="Arial" w:eastAsia="Arial" w:hAnsi="Arial"/>
          <w:sz w:val="20"/>
          <w:szCs w:val="20"/>
        </w:rPr>
        <w:t xml:space="preserve">🌐 </w:t>
      </w:r>
      <w:hyperlink w:history="1" r:id="rIdnhzpge2ryxhfby-jh99hb">
        <w:r>
          <w:rPr>
            <w:rStyle w:val="Hyperlink"/>
            <w:rFonts w:ascii="Arial" w:cs="Arial" w:eastAsia="Arial" w:hAnsi="Arial"/>
            <w:sz w:val="20"/>
            <w:szCs w:val="20"/>
          </w:rPr>
          <w:t xml:space="preserve">Lilian Weng - Prompt Engineering (comprehensive survey)</w:t>
        </w:r>
      </w:hyperlink>
    </w:p>
    <w:p>
      <w:pPr>
        <w:spacing w:after="60"/>
      </w:pPr>
      <w:r>
        <w:rPr>
          <w:rFonts w:ascii="Arial" w:cs="Arial" w:eastAsia="Arial" w:hAnsi="Arial"/>
          <w:sz w:val="20"/>
          <w:szCs w:val="20"/>
        </w:rPr>
        <w:t xml:space="preserve">🌐 </w:t>
      </w:r>
      <w:hyperlink w:history="1" r:id="rId3nfe8mmaygjxtdgezki7l">
        <w:r>
          <w:rPr>
            <w:rStyle w:val="Hyperlink"/>
            <w:rFonts w:ascii="Arial" w:cs="Arial" w:eastAsia="Arial" w:hAnsi="Arial"/>
            <w:sz w:val="20"/>
            <w:szCs w:val="20"/>
          </w:rPr>
          <w:t xml:space="preserve">Google DeepMind - Chain-of-Thought Prompting (research paper)</w:t>
        </w:r>
      </w:hyperlink>
    </w:p>
    <w:p>
      <w:pPr>
        <w:pStyle w:val="Heading2"/>
        <w:spacing w:after="160" w:before="280"/>
      </w:pPr>
      <w:r>
        <w:rPr>
          <w:rFonts w:ascii="Arial" w:cs="Arial" w:eastAsia="Arial" w:hAnsi="Arial"/>
          <w:b/>
          <w:bCs/>
          <w:color w:val="1F3864"/>
          <w:sz w:val="28"/>
          <w:szCs w:val="28"/>
        </w:rPr>
        <w:t xml:space="preserve">3.1 System Prompts, Context, and User Messages</w:t>
      </w:r>
    </w:p>
    <w:p>
      <w:pPr>
        <w:spacing w:after="160"/>
      </w:pPr>
      <w:r>
        <w:rPr>
          <w:rFonts w:ascii="Arial" w:cs="Arial" w:eastAsia="Arial" w:hAnsi="Arial"/>
          <w:sz w:val="22"/>
          <w:szCs w:val="22"/>
        </w:rPr>
        <w:t xml:space="preserve">Every LLM API call includes three types of messages: the system prompt (defines the model's role and behavior), the user message (the question), and optionally assistant messages (for multi-turn conversations). For RAG, the system prompt establishes the model as a financial compliance analyst and sets rules for how it should use the retrieved context.</w:t>
      </w:r>
    </w:p>
    <w:p>
      <w:pPr>
        <w:spacing w:after="160"/>
      </w:pPr>
      <w:r>
        <w:rPr>
          <w:rFonts w:ascii="Arial" w:cs="Arial" w:eastAsia="Arial" w:hAnsi="Arial"/>
          <w:sz w:val="22"/>
          <w:szCs w:val="22"/>
        </w:rPr>
        <w:t xml:space="preserve">The system prompt is the most important part of your RAG system after the retriever. It controls whether the model cites sources, admits uncertainty, avoids hallucination, and formats output consistently. A weak system prompt ('Answer the question based on the context') produces inconsistent results. A strong system prompt specifies the role, the constraints, the output format, and the behavior when information is not available.</w:t>
      </w:r>
    </w:p>
    <w:p>
      <w:pPr>
        <w:spacing w:after="160"/>
      </w:pPr>
      <w:r>
        <w:rPr>
          <w:rFonts w:ascii="Arial" w:cs="Arial" w:eastAsia="Arial" w:hAnsi="Arial"/>
          <w:sz w:val="22"/>
          <w:szCs w:val="22"/>
        </w:rPr>
        <w:t xml:space="preserve">For Canadian bank filing analysis, an effective system prompt includes five components: (1) role definition ('You are a senior financial compliance analyst at a major Canadian bank'), (2) source constraint ('Answer ONLY based on the provided filing excerpts. Do not use information from your training data.'), (3) citation requirement ('For every factual claim, cite the bank name, document type, section, and fiscal year'), (4) uncertainty handling ('If the provided context does not contain the information needed, explicitly state: The provided documents do not contain information about [topic]. Do not speculate or infer.'), and (5) domain vocabulary ('Use standard Canadian financial terminology: PCL for provision for credit losses, ACL for allowance for credit losses, OSFI for regulatory references').</w:t>
      </w:r>
    </w:p>
    <w:p>
      <w:pPr>
        <w:spacing w:after="160"/>
      </w:pPr>
      <w:r>
        <w:rPr>
          <w:rFonts w:ascii="Arial" w:cs="Arial" w:eastAsia="Arial" w:hAnsi="Arial"/>
          <w:sz w:val="22"/>
          <w:szCs w:val="22"/>
        </w:rPr>
        <w:t xml:space="preserve">The user message in a RAG system is a composite: it contains the retrieved context chunks, the actual user question, and optionally additional instructions. A common structure is: 'CONTEXT: [retrieved chunks with source labels] QUESTION: [user's question] INSTRUCTIONS: [any additional formatting or analysis instructions]'. The order matters: placing the context before the question helps the model focus on the source material before seeing what it needs to answer.</w:t>
      </w:r>
    </w:p>
    <w:p>
      <w:pPr>
        <w:pStyle w:val="Heading2"/>
        <w:spacing w:after="160" w:before="280"/>
      </w:pPr>
      <w:r>
        <w:rPr>
          <w:rFonts w:ascii="Arial" w:cs="Arial" w:eastAsia="Arial" w:hAnsi="Arial"/>
          <w:b/>
          <w:bCs/>
          <w:color w:val="1F3864"/>
          <w:sz w:val="28"/>
          <w:szCs w:val="28"/>
        </w:rPr>
        <w:t xml:space="preserve">3.2 Few-Shot and Chain-of-Thought Prompting</w:t>
      </w:r>
    </w:p>
    <w:p>
      <w:pPr>
        <w:spacing w:after="160"/>
      </w:pPr>
      <w:r>
        <w:rPr>
          <w:rFonts w:ascii="Arial" w:cs="Arial" w:eastAsia="Arial" w:hAnsi="Arial"/>
          <w:sz w:val="22"/>
          <w:szCs w:val="22"/>
        </w:rPr>
        <w:t xml:space="preserve">Few-shot prompting provides the model with examples of desired input-output pairs before the actual question. For financial compliance, this means including 2-3 examples of 'question + context chunks + ideal answer' in the prompt. The model learns the expected format, level of detail, citation style, and analytical approach from these examples. Few-shot prompting is especially valuable when you need consistent output format across many queries.</w:t>
      </w:r>
    </w:p>
    <w:p>
      <w:pPr>
        <w:spacing w:after="160"/>
      </w:pPr>
      <w:r>
        <w:rPr>
          <w:rFonts w:ascii="Arial" w:cs="Arial" w:eastAsia="Arial" w:hAnsi="Arial"/>
          <w:sz w:val="22"/>
          <w:szCs w:val="22"/>
        </w:rPr>
        <w:t xml:space="preserve">For example, a few-shot prompt might include an example like: 'QUESTION: What was RBC's provision for credit losses in fiscal 2024? CONTEXT: [filing excerpt mentioning $3.4 billion PCL] ANSWER: According to RBC's 2024 Annual Report (MD&amp;A - Credit Risk), the provision for credit losses was $3.4 billion, an increase from $2.9 billion in the prior year (Source: RBC Annual Report 2024, p.47).' The model learns from this example that answers should include the specific number, the comparison to prior year, and a precise source citation.</w:t>
      </w:r>
    </w:p>
    <w:p>
      <w:pPr>
        <w:spacing w:after="160"/>
      </w:pPr>
      <w:r>
        <w:rPr>
          <w:rFonts w:ascii="Arial" w:cs="Arial" w:eastAsia="Arial" w:hAnsi="Arial"/>
          <w:sz w:val="22"/>
          <w:szCs w:val="22"/>
        </w:rPr>
        <w:t xml:space="preserve">Chain-of-thought (CoT) prompting asks the model to show its reasoning before giving a final answer. For compliance questions like 'How did Scotiabank's credit risk profile change from 2023 to 2024?', CoT prompting produces a structured analysis: (1) identify relevant metrics in 2023 filings, (2) identify the same metrics in 2024 filings, (3) compare and note changes, (4) assess the significance of the changes, (5) synthesize into a summary. This structured reasoning reduces errors and makes the model's logic auditable - essential for compliance workflows where an analyst must verify the system's reasoning, not just its conclusion.</w:t>
      </w:r>
    </w:p>
    <w:p>
      <w:pPr>
        <w:spacing w:after="160"/>
      </w:pPr>
      <w:r>
        <w:rPr>
          <w:rFonts w:ascii="Arial" w:cs="Arial" w:eastAsia="Arial" w:hAnsi="Arial"/>
          <w:sz w:val="22"/>
          <w:szCs w:val="22"/>
        </w:rPr>
        <w:t xml:space="preserve">A powerful combination is few-shot CoT: provide examples that demonstrate the step-by-step reasoning you expect. This is more expensive (each example consumes tokens) but produces significantly higher quality for complex analytical questions. For the capstone, use few-shot CoT for cross-filing comparison queries and basic prompting for simple factual lookups.</w:t>
      </w:r>
    </w:p>
    <w:p>
      <w:pPr>
        <w:pStyle w:val="Heading2"/>
        <w:spacing w:after="160" w:before="280"/>
      </w:pPr>
      <w:r>
        <w:rPr>
          <w:rFonts w:ascii="Arial" w:cs="Arial" w:eastAsia="Arial" w:hAnsi="Arial"/>
          <w:b/>
          <w:bCs/>
          <w:color w:val="1F3864"/>
          <w:sz w:val="28"/>
          <w:szCs w:val="28"/>
        </w:rPr>
        <w:t xml:space="preserve">3.3 Structured Output and Response Formatting</w:t>
      </w:r>
    </w:p>
    <w:p>
      <w:pPr>
        <w:spacing w:after="160"/>
      </w:pPr>
      <w:r>
        <w:rPr>
          <w:rFonts w:ascii="Arial" w:cs="Arial" w:eastAsia="Arial" w:hAnsi="Arial"/>
          <w:sz w:val="22"/>
          <w:szCs w:val="22"/>
        </w:rPr>
        <w:t xml:space="preserve">Financial compliance requires structured, consistent output. Free-form text answers are hard to parse, compare, and audit. Structured output techniques include: JSON mode (the model returns a JSON object with predefined fields), XML formatting (useful for nested data), and template-based responses (the model fills in a predefined template).</w:t>
      </w:r>
    </w:p>
    <w:p>
      <w:pPr>
        <w:spacing w:after="160"/>
      </w:pPr>
      <w:r>
        <w:rPr>
          <w:rFonts w:ascii="Arial" w:cs="Arial" w:eastAsia="Arial" w:hAnsi="Arial"/>
          <w:sz w:val="22"/>
          <w:szCs w:val="22"/>
        </w:rPr>
        <w:t xml:space="preserve">For your capstone, the most useful structured output is a JSON object containing: the answer text, a list of source citations (bank, document, section, year), a confidence score (self-assessed by the model), and a list of caveats or limitations. This structure makes it easy to build a UI that displays answers with clickable source links and flags low-confidence responses for human review.</w:t>
      </w:r>
    </w:p>
    <w:p>
      <w:pPr>
        <w:spacing w:after="160"/>
      </w:pPr>
      <w:r>
        <w:rPr>
          <w:rFonts w:ascii="Arial" w:cs="Arial" w:eastAsia="Arial" w:hAnsi="Arial"/>
          <w:sz w:val="22"/>
          <w:szCs w:val="22"/>
        </w:rPr>
        <w:t xml:space="preserve">OpenAI's API supports a response_format parameter with type: 'json_object' that guarantees valid JSON output. However, this only ensures syntactic validity - the model may still return incorrect field values or hallucinate content within the JSON structure. Always validate the JSON schema (are all required fields present?) and the content (do citations correspond to real documents?) in your application code.</w:t>
      </w:r>
    </w:p>
    <w:p>
      <w:pPr>
        <w:spacing w:after="160"/>
      </w:pPr>
      <w:r>
        <w:rPr>
          <w:rFonts w:ascii="Arial" w:cs="Arial" w:eastAsia="Arial" w:hAnsi="Arial"/>
          <w:sz w:val="22"/>
          <w:szCs w:val="22"/>
        </w:rPr>
        <w:t xml:space="preserve">See demos/04_prompt_engineering.py for complete examples of all prompting techniques applied to Canadian bank filing analysis, with side-by-side quality comparisons.</w:t>
      </w:r>
    </w:p>
    <w:p>
      <w:pPr>
        <w:pStyle w:val="Heading2"/>
        <w:spacing w:after="160" w:before="280"/>
      </w:pPr>
      <w:r>
        <w:rPr>
          <w:rFonts w:ascii="Arial" w:cs="Arial" w:eastAsia="Arial" w:hAnsi="Arial"/>
          <w:b/>
          <w:bCs/>
          <w:color w:val="1F3864"/>
          <w:sz w:val="28"/>
          <w:szCs w:val="28"/>
        </w:rPr>
        <w:t xml:space="preserve">3.4 Query Rewriting for Better Retrieval</w:t>
      </w:r>
    </w:p>
    <w:p>
      <w:pPr>
        <w:spacing w:after="160"/>
      </w:pPr>
      <w:r>
        <w:rPr>
          <w:rFonts w:ascii="Arial" w:cs="Arial" w:eastAsia="Arial" w:hAnsi="Arial"/>
          <w:sz w:val="22"/>
          <w:szCs w:val="22"/>
        </w:rPr>
        <w:t xml:space="preserve">The user's original question may not be the best search query for the vector database. An analyst might ask 'How is CIBC doing with mortgages?' which is conversational but vague for embedding-based retrieval. Query rewriting uses the LLM to transform the user's question into a more specific, search-friendly form: 'CIBC residential mortgage portfolio performance credit quality 2024'. This rewritten query produces better embeddings and retrieves more relevant chunks.</w:t>
      </w:r>
    </w:p>
    <w:p>
      <w:pPr>
        <w:spacing w:after="160"/>
      </w:pPr>
      <w:r>
        <w:rPr>
          <w:rFonts w:ascii="Arial" w:cs="Arial" w:eastAsia="Arial" w:hAnsi="Arial"/>
          <w:sz w:val="22"/>
          <w:szCs w:val="22"/>
        </w:rPr>
        <w:t xml:space="preserve">A common query rewriting technique is HyDE (Hypothetical Document Embeddings): instead of embedding the question, ask the LLM to generate a hypothetical answer to the question, then embed that hypothetical answer and use it for retrieval. The intuition is that the hypothetical answer is closer in embedding space to actual filing text than the question is. For example, the question 'What is TD's climate strategy?' is quite different in embedding space from the filing text that answers it, but a hypothetical answer like 'TD has committed to net-zero emissions by 2050 with interim 2030 targets for high-emitting sectors' is very similar to the actual filing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Prompt Engineering for Financial RAG</w:t>
            </w:r>
          </w:p>
          <w:p>
            <w:pPr>
              <w:spacing w:after="80"/>
            </w:pPr>
            <w:r>
              <w:rPr>
                <w:rFonts w:ascii="Arial" w:cs="Arial" w:eastAsia="Arial" w:hAnsi="Arial"/>
                <w:sz w:val="20"/>
                <w:szCs w:val="20"/>
              </w:rPr>
              <w:t xml:space="preserve">Include explicit instructions to cite sources: 'For every claim, cite the bank name, document, section, and fiscal year.'</w:t>
            </w:r>
          </w:p>
          <w:p>
            <w:pPr>
              <w:spacing w:after="80"/>
            </w:pPr>
            <w:r>
              <w:rPr>
                <w:rFonts w:ascii="Arial" w:cs="Arial" w:eastAsia="Arial" w:hAnsi="Arial"/>
                <w:sz w:val="20"/>
                <w:szCs w:val="20"/>
              </w:rPr>
              <w:t xml:space="preserve">Include an explicit 'I don't know' instruction: 'If the provided context does not contain the information needed to answer the question, say so. Do not speculate.'</w:t>
            </w:r>
          </w:p>
          <w:p>
            <w:pPr>
              <w:spacing w:after="80"/>
            </w:pPr>
            <w:r>
              <w:rPr>
                <w:rFonts w:ascii="Arial" w:cs="Arial" w:eastAsia="Arial" w:hAnsi="Arial"/>
                <w:sz w:val="20"/>
                <w:szCs w:val="20"/>
              </w:rPr>
              <w:t xml:space="preserve">Use few-shot examples that demonstrate how to handle edge cases: partial information, conflicting data across filings, questions outside the scope of available filings.</w:t>
            </w:r>
          </w:p>
          <w:p>
            <w:pPr>
              <w:spacing w:after="80"/>
            </w:pPr>
            <w:r>
              <w:rPr>
                <w:rFonts w:ascii="Arial" w:cs="Arial" w:eastAsia="Arial" w:hAnsi="Arial"/>
                <w:sz w:val="20"/>
                <w:szCs w:val="20"/>
              </w:rPr>
              <w:t xml:space="preserve">Set temperature=0 for compliance applications. Non-zero temperature introduces randomness that produces different answers to the same question.</w:t>
            </w:r>
          </w:p>
          <w:p>
            <w:pPr>
              <w:spacing w:after="80"/>
            </w:pPr>
            <w:r>
              <w:rPr>
                <w:rFonts w:ascii="Arial" w:cs="Arial" w:eastAsia="Arial" w:hAnsi="Arial"/>
                <w:sz w:val="20"/>
                <w:szCs w:val="20"/>
              </w:rPr>
              <w:t xml:space="preserve">Test your prompts with adversarial questions: questions about banks not in your database, questions about future events, questions that require computation.</w:t>
            </w:r>
          </w:p>
          <w:p>
            <w:pPr>
              <w:spacing w:after="80"/>
            </w:pPr>
            <w:r>
              <w:rPr>
                <w:rFonts w:ascii="Arial" w:cs="Arial" w:eastAsia="Arial" w:hAnsi="Arial"/>
                <w:sz w:val="20"/>
                <w:szCs w:val="20"/>
              </w:rPr>
              <w:t xml:space="preserve">Iterate on prompts systematically. Change one thing at a time and measure the impact on your test set. Prompt engineering is empirical, not theoretical.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60"/>
              <w:left w:type="dxa" w:w="200"/>
              <w:bottom w:type="dxa" w:w="160"/>
              <w:right w:type="dxa" w:w="200"/>
            </w:tcMar>
          </w:tcPr>
          <w:p>
            <w:pPr>
              <w:spacing w:after="120"/>
            </w:pPr>
            <w:r>
              <w:rPr>
                <w:rFonts w:ascii="Arial" w:cs="Arial" w:eastAsia="Arial" w:hAnsi="Arial"/>
                <w:b/>
                <w:bCs/>
                <w:sz w:val="22"/>
                <w:szCs w:val="22"/>
              </w:rPr>
              <w:t xml:space="preserve">🏗️ Capstone Step 3: Build the RAG Pipeline</w:t>
            </w:r>
          </w:p>
          <w:p>
            <w:pPr>
              <w:spacing w:after="80"/>
            </w:pPr>
            <w:r>
              <w:rPr>
                <w:rFonts w:ascii="Arial" w:cs="Arial" w:eastAsia="Arial" w:hAnsi="Arial"/>
                <w:sz w:val="20"/>
                <w:szCs w:val="20"/>
              </w:rPr>
              <w:t xml:space="preserve">Objective: Build a complete RAG pipeline that retrieves relevant filing chunks and generates accurate answers to compliance questions about Canadian banks.</w:t>
            </w:r>
          </w:p>
          <w:p>
            <w:pPr>
              <w:spacing w:after="80"/>
            </w:pPr>
            <w:r>
              <w:rPr>
                <w:rFonts w:ascii="Arial" w:cs="Arial" w:eastAsia="Arial" w:hAnsi="Arial"/>
                <w:sz w:val="20"/>
                <w:szCs w:val="20"/>
              </w:rPr>
              <w:t xml:space="preserve">What to do:</w:t>
            </w:r>
          </w:p>
          <w:p>
            <w:pPr>
              <w:spacing w:after="80"/>
            </w:pPr>
            <w:r>
              <w:rPr>
                <w:rFonts w:ascii="Arial" w:cs="Arial" w:eastAsia="Arial" w:hAnsi="Arial"/>
                <w:sz w:val="20"/>
                <w:szCs w:val="20"/>
              </w:rPr>
              <w:t xml:space="preserve">1. Write a system prompt that establishes the model as a Canadian bank compliance analyst. Include citation requirements, 'I don't know' instructions, and output format specifications.</w:t>
            </w:r>
          </w:p>
          <w:p>
            <w:pPr>
              <w:spacing w:after="80"/>
            </w:pPr>
            <w:r>
              <w:rPr>
                <w:rFonts w:ascii="Arial" w:cs="Arial" w:eastAsia="Arial" w:hAnsi="Arial"/>
                <w:sz w:val="20"/>
                <w:szCs w:val="20"/>
              </w:rPr>
              <w:t xml:space="preserve">2. Build the RAG pipeline: query -&gt; embed query -&gt; retrieve top-k chunks from ChromaDB -&gt; construct prompt with context -&gt; call LLM -&gt; return answer.</w:t>
            </w:r>
          </w:p>
          <w:p>
            <w:pPr>
              <w:spacing w:after="80"/>
            </w:pPr>
            <w:r>
              <w:rPr>
                <w:rFonts w:ascii="Arial" w:cs="Arial" w:eastAsia="Arial" w:hAnsi="Arial"/>
                <w:sz w:val="20"/>
                <w:szCs w:val="20"/>
              </w:rPr>
              <w:t xml:space="preserve">3. Test with 15 compliance questions spanning all 5 banks and multiple risk categories (credit risk, market risk, climate risk, operational risk, liquidity risk).</w:t>
            </w:r>
          </w:p>
          <w:p>
            <w:pPr>
              <w:spacing w:after="80"/>
            </w:pPr>
            <w:r>
              <w:rPr>
                <w:rFonts w:ascii="Arial" w:cs="Arial" w:eastAsia="Arial" w:hAnsi="Arial"/>
                <w:sz w:val="20"/>
                <w:szCs w:val="20"/>
              </w:rPr>
              <w:t xml:space="preserve">4. For each question, record: the retrieved chunks, the model's answer, whether the answer is correct (manual check), and whether citations are accurate.</w:t>
            </w:r>
          </w:p>
          <w:p>
            <w:pPr>
              <w:spacing w:after="80"/>
            </w:pPr>
            <w:r>
              <w:rPr>
                <w:rFonts w:ascii="Arial" w:cs="Arial" w:eastAsia="Arial" w:hAnsi="Arial"/>
                <w:sz w:val="20"/>
                <w:szCs w:val="20"/>
              </w:rPr>
              <w:t xml:space="preserve">5. Compute accuracy: what percentage of answers are factually correct? What percentage include accurate citations?</w:t>
            </w:r>
          </w:p>
          <w:p>
            <w:pPr>
              <w:spacing w:after="80"/>
            </w:pPr>
            <w:r>
              <w:rPr>
                <w:rFonts w:ascii="Arial" w:cs="Arial" w:eastAsia="Arial" w:hAnsi="Arial"/>
                <w:sz w:val="20"/>
                <w:szCs w:val="20"/>
              </w:rPr>
              <w:t xml:space="preserve">6. Identify failure modes: which questions does the system get wrong? Why? Is it a retrieval problem or a generation problem?</w:t>
            </w:r>
          </w:p>
          <w:p>
            <w:pPr>
              <w:spacing w:after="80"/>
            </w:pPr>
            <w:r>
              <w:rPr>
                <w:rFonts w:ascii="Arial" w:cs="Arial" w:eastAsia="Arial" w:hAnsi="Arial"/>
                <w:sz w:val="20"/>
                <w:szCs w:val="20"/>
              </w:rPr>
              <w:t xml:space="preserve">Deliverable: 03_rag_pipeline.ipynb with RAG implementation, test results, accuracy metrics, and failure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60"/>
              <w:left w:type="dxa" w:w="200"/>
              <w:bottom w:type="dxa" w:w="160"/>
              <w:right w:type="dxa" w:w="200"/>
            </w:tcMar>
          </w:tcPr>
          <w:p>
            <w:pPr>
              <w:spacing w:after="120"/>
            </w:pPr>
            <w:r>
              <w:rPr>
                <w:rFonts w:ascii="Arial" w:cs="Arial" w:eastAsia="Arial" w:hAnsi="Arial"/>
                <w:b/>
                <w:bCs/>
                <w:sz w:val="22"/>
                <w:szCs w:val="22"/>
              </w:rPr>
              <w:t xml:space="preserve">🏗️ Capstone Step 4: Prompt Optimization &amp; Structured Output</w:t>
            </w:r>
          </w:p>
          <w:p>
            <w:pPr>
              <w:spacing w:after="80"/>
            </w:pPr>
            <w:r>
              <w:rPr>
                <w:rFonts w:ascii="Arial" w:cs="Arial" w:eastAsia="Arial" w:hAnsi="Arial"/>
                <w:sz w:val="20"/>
                <w:szCs w:val="20"/>
              </w:rPr>
              <w:t xml:space="preserve">Objective: Improve RAG accuracy through systematic prompt engineering and implement structured output for consistent, parseable responses.</w:t>
            </w:r>
          </w:p>
          <w:p>
            <w:pPr>
              <w:spacing w:after="80"/>
            </w:pPr>
            <w:r>
              <w:rPr>
                <w:rFonts w:ascii="Arial" w:cs="Arial" w:eastAsia="Arial" w:hAnsi="Arial"/>
                <w:sz w:val="20"/>
                <w:szCs w:val="20"/>
              </w:rPr>
              <w:t xml:space="preserve">What to do:</w:t>
            </w:r>
          </w:p>
          <w:p>
            <w:pPr>
              <w:spacing w:after="80"/>
            </w:pPr>
            <w:r>
              <w:rPr>
                <w:rFonts w:ascii="Arial" w:cs="Arial" w:eastAsia="Arial" w:hAnsi="Arial"/>
                <w:sz w:val="20"/>
                <w:szCs w:val="20"/>
              </w:rPr>
              <w:t xml:space="preserve">1. Create 3 prompt versions: (a) basic zero-shot, (b) few-shot with 2-3 examples, (c) chain-of-thought with citation enforcement.</w:t>
            </w:r>
          </w:p>
          <w:p>
            <w:pPr>
              <w:spacing w:after="80"/>
            </w:pPr>
            <w:r>
              <w:rPr>
                <w:rFonts w:ascii="Arial" w:cs="Arial" w:eastAsia="Arial" w:hAnsi="Arial"/>
                <w:sz w:val="20"/>
                <w:szCs w:val="20"/>
              </w:rPr>
              <w:t xml:space="preserve">2. Test all 3 versions on the same 15 questions from Step 3. Compare accuracy and citation quality.</w:t>
            </w:r>
          </w:p>
          <w:p>
            <w:pPr>
              <w:spacing w:after="80"/>
            </w:pPr>
            <w:r>
              <w:rPr>
                <w:rFonts w:ascii="Arial" w:cs="Arial" w:eastAsia="Arial" w:hAnsi="Arial"/>
                <w:sz w:val="20"/>
                <w:szCs w:val="20"/>
              </w:rPr>
              <w:t xml:space="preserve">3. Implement JSON structured output: the system returns {answer, sources: [{bank, document, section, year}], confidence, caveats}.</w:t>
            </w:r>
          </w:p>
          <w:p>
            <w:pPr>
              <w:spacing w:after="80"/>
            </w:pPr>
            <w:r>
              <w:rPr>
                <w:rFonts w:ascii="Arial" w:cs="Arial" w:eastAsia="Arial" w:hAnsi="Arial"/>
                <w:sz w:val="20"/>
                <w:szCs w:val="20"/>
              </w:rPr>
              <w:t xml:space="preserve">4. Add a query rewriting step: before retrieval, use the LLM to rewrite the user's question into a more search-friendly form. Measure retrieval improvement.</w:t>
            </w:r>
          </w:p>
          <w:p>
            <w:pPr>
              <w:spacing w:after="80"/>
            </w:pPr>
            <w:r>
              <w:rPr>
                <w:rFonts w:ascii="Arial" w:cs="Arial" w:eastAsia="Arial" w:hAnsi="Arial"/>
                <w:sz w:val="20"/>
                <w:szCs w:val="20"/>
              </w:rPr>
              <w:t xml:space="preserve">5. Test edge cases: questions about banks not in the database, questions requiring computation, ambiguous questions, questions in French.</w:t>
            </w:r>
          </w:p>
          <w:p>
            <w:pPr>
              <w:spacing w:after="80"/>
            </w:pPr>
            <w:r>
              <w:rPr>
                <w:rFonts w:ascii="Arial" w:cs="Arial" w:eastAsia="Arial" w:hAnsi="Arial"/>
                <w:sz w:val="20"/>
                <w:szCs w:val="20"/>
              </w:rPr>
              <w:t xml:space="preserve">6. Document the best-performing prompt configuration with evidence.</w:t>
            </w:r>
          </w:p>
          <w:p>
            <w:pPr>
              <w:spacing w:after="80"/>
            </w:pPr>
            <w:r>
              <w:rPr>
                <w:rFonts w:ascii="Arial" w:cs="Arial" w:eastAsia="Arial" w:hAnsi="Arial"/>
                <w:sz w:val="20"/>
                <w:szCs w:val="20"/>
              </w:rPr>
              <w:t xml:space="preserve">Deliverable: 04_prompt_optimization.ipynb with prompt comparison results, structured output examples, and edge case analysis.</w:t>
            </w:r>
          </w:p>
        </w:tc>
      </w:tr>
    </w:tbl>
    <w:p>
      <w:r>
        <w:br w:type="page"/>
      </w:r>
    </w:p>
    <w:p>
      <w:pPr>
        <w:pStyle w:val="Heading1"/>
        <w:spacing w:after="200" w:before="360"/>
      </w:pPr>
      <w:r>
        <w:rPr>
          <w:rFonts w:ascii="Arial" w:cs="Arial" w:eastAsia="Arial" w:hAnsi="Arial"/>
          <w:b/>
          <w:bCs/>
          <w:color w:val="1F3864"/>
          <w:sz w:val="32"/>
          <w:szCs w:val="32"/>
        </w:rPr>
        <w:t xml:space="preserve">Topic 4: RAG Architecture &amp; Implementation</w:t>
      </w:r>
    </w:p>
    <w:p>
      <w:pPr>
        <w:spacing w:after="160"/>
      </w:pPr>
      <w:r>
        <w:rPr>
          <w:rFonts w:ascii="Arial" w:cs="Arial" w:eastAsia="Arial" w:hAnsi="Arial"/>
          <w:sz w:val="22"/>
          <w:szCs w:val="22"/>
        </w:rPr>
        <w:t xml:space="preserve">Retrieval-Augmented Generation (RAG) is the most important pattern in enterprise GenAI. It grounds LLM responses in specific source documents, dramatically reducing hallucination and enabling the model to work with private, domain-specific data that was not in its training set. This topic covers the end-to-end RAG pipeline architecture, implementation with LangChain, advanced RAG patterns, and deployment considerations on Databricks.</w:t>
      </w:r>
    </w:p>
    <w:p>
      <w:pPr>
        <w:spacing w:after="120"/>
      </w:pPr>
      <w:r>
        <w:rPr>
          <w:rFonts w:ascii="Arial" w:cs="Arial" w:eastAsia="Arial" w:hAnsi="Arial"/>
          <w:b/>
          <w:bCs/>
          <w:color w:val="1F3864"/>
          <w:sz w:val="22"/>
          <w:szCs w:val="22"/>
        </w:rPr>
        <w:t xml:space="preserve">🎥 Recommended Video Resources</w:t>
      </w:r>
    </w:p>
    <w:p>
      <w:pPr>
        <w:spacing w:after="60"/>
      </w:pPr>
      <w:r>
        <w:rPr>
          <w:rFonts w:ascii="Arial" w:cs="Arial" w:eastAsia="Arial" w:hAnsi="Arial"/>
          <w:sz w:val="20"/>
          <w:szCs w:val="20"/>
        </w:rPr>
        <w:t xml:space="preserve">▶ </w:t>
      </w:r>
      <w:hyperlink w:history="1" r:id="rId589cqvqdgmvvgctnixden">
        <w:r>
          <w:rPr>
            <w:rStyle w:val="Hyperlink"/>
            <w:rFonts w:ascii="Arial" w:cs="Arial" w:eastAsia="Arial" w:hAnsi="Arial"/>
            <w:sz w:val="20"/>
            <w:szCs w:val="20"/>
          </w:rPr>
          <w:t xml:space="preserve">DeepLearning.AI: LangChain for LLM Application Development</w:t>
        </w:r>
      </w:hyperlink>
    </w:p>
    <w:p>
      <w:pPr>
        <w:spacing w:after="60"/>
      </w:pPr>
      <w:r>
        <w:rPr>
          <w:rFonts w:ascii="Arial" w:cs="Arial" w:eastAsia="Arial" w:hAnsi="Arial"/>
          <w:sz w:val="20"/>
          <w:szCs w:val="20"/>
        </w:rPr>
        <w:t xml:space="preserve">▶ </w:t>
      </w:r>
      <w:hyperlink w:history="1" r:id="rIdg1uju2gspy-1m-_dxynbi">
        <w:r>
          <w:rPr>
            <w:rStyle w:val="Hyperlink"/>
            <w:rFonts w:ascii="Arial" w:cs="Arial" w:eastAsia="Arial" w:hAnsi="Arial"/>
            <w:sz w:val="20"/>
            <w:szCs w:val="20"/>
          </w:rPr>
          <w:t xml:space="preserve">DeepLearning.AI: Building and Evaluating Advanced RAG</w:t>
        </w:r>
      </w:hyperlink>
    </w:p>
    <w:p>
      <w:pPr>
        <w:spacing w:after="60"/>
      </w:pPr>
      <w:r>
        <w:rPr>
          <w:rFonts w:ascii="Arial" w:cs="Arial" w:eastAsia="Arial" w:hAnsi="Arial"/>
          <w:sz w:val="20"/>
          <w:szCs w:val="20"/>
        </w:rPr>
        <w:t xml:space="preserve">▶ </w:t>
      </w:r>
      <w:hyperlink w:history="1" r:id="rIds1p5ee1kns6hjsiez7b1m">
        <w:r>
          <w:rPr>
            <w:rStyle w:val="Hyperlink"/>
            <w:rFonts w:ascii="Arial" w:cs="Arial" w:eastAsia="Arial" w:hAnsi="Arial"/>
            <w:sz w:val="20"/>
            <w:szCs w:val="20"/>
          </w:rPr>
          <w:t xml:space="preserve">YouTube: RAG from Scratch (LangChain, full series)</w:t>
        </w:r>
      </w:hyperlink>
    </w:p>
    <w:p>
      <w:pPr>
        <w:spacing w:after="60"/>
      </w:pPr>
      <w:r>
        <w:rPr>
          <w:rFonts w:ascii="Arial" w:cs="Arial" w:eastAsia="Arial" w:hAnsi="Arial"/>
          <w:sz w:val="20"/>
          <w:szCs w:val="20"/>
        </w:rPr>
        <w:t xml:space="preserve">▶ </w:t>
      </w:r>
      <w:hyperlink w:history="1" r:id="rIdnlxfv69pch_ucgriqile4">
        <w:r>
          <w:rPr>
            <w:rStyle w:val="Hyperlink"/>
            <w:rFonts w:ascii="Arial" w:cs="Arial" w:eastAsia="Arial" w:hAnsi="Arial"/>
            <w:sz w:val="20"/>
            <w:szCs w:val="20"/>
          </w:rPr>
          <w:t xml:space="preserve">YouTube: Advanced RAG Techniques (Jerry Liu, LlamaIndex)</w:t>
        </w:r>
      </w:hyperlink>
    </w:p>
    <w:p>
      <w:pPr>
        <w:spacing w:after="120"/>
      </w:pPr>
      <w:r>
        <w:rPr>
          <w:rFonts w:ascii="Arial" w:cs="Arial" w:eastAsia="Arial" w:hAnsi="Arial"/>
          <w:b/>
          <w:bCs/>
          <w:color w:val="1F3864"/>
          <w:sz w:val="22"/>
          <w:szCs w:val="22"/>
        </w:rPr>
        <w:t xml:space="preserve">🌐 Recommended Websites &amp; Reading</w:t>
      </w:r>
    </w:p>
    <w:p>
      <w:pPr>
        <w:spacing w:after="60"/>
      </w:pPr>
      <w:r>
        <w:rPr>
          <w:rFonts w:ascii="Arial" w:cs="Arial" w:eastAsia="Arial" w:hAnsi="Arial"/>
          <w:sz w:val="20"/>
          <w:szCs w:val="20"/>
        </w:rPr>
        <w:t xml:space="preserve">🌐 </w:t>
      </w:r>
      <w:hyperlink w:history="1" r:id="rIdasgheniqd7um1tt3drcpl">
        <w:r>
          <w:rPr>
            <w:rStyle w:val="Hyperlink"/>
            <w:rFonts w:ascii="Arial" w:cs="Arial" w:eastAsia="Arial" w:hAnsi="Arial"/>
            <w:sz w:val="20"/>
            <w:szCs w:val="20"/>
          </w:rPr>
          <w:t xml:space="preserve">LangChain Documentation - RAG Tutorial (official)</w:t>
        </w:r>
      </w:hyperlink>
    </w:p>
    <w:p>
      <w:pPr>
        <w:spacing w:after="60"/>
      </w:pPr>
      <w:r>
        <w:rPr>
          <w:rFonts w:ascii="Arial" w:cs="Arial" w:eastAsia="Arial" w:hAnsi="Arial"/>
          <w:sz w:val="20"/>
          <w:szCs w:val="20"/>
        </w:rPr>
        <w:t xml:space="preserve">🌐 </w:t>
      </w:r>
      <w:hyperlink w:history="1" r:id="rIdtcmh53wvypjymugke9ocy">
        <w:r>
          <w:rPr>
            <w:rStyle w:val="Hyperlink"/>
            <w:rFonts w:ascii="Arial" w:cs="Arial" w:eastAsia="Arial" w:hAnsi="Arial"/>
            <w:sz w:val="20"/>
            <w:szCs w:val="20"/>
          </w:rPr>
          <w:t xml:space="preserve">LangChain Documentation - Retrieval (official)</w:t>
        </w:r>
      </w:hyperlink>
    </w:p>
    <w:p>
      <w:pPr>
        <w:spacing w:after="60"/>
      </w:pPr>
      <w:r>
        <w:rPr>
          <w:rFonts w:ascii="Arial" w:cs="Arial" w:eastAsia="Arial" w:hAnsi="Arial"/>
          <w:sz w:val="20"/>
          <w:szCs w:val="20"/>
        </w:rPr>
        <w:t xml:space="preserve">🌐 </w:t>
      </w:r>
      <w:hyperlink w:history="1" r:id="rIdn-wzf-ymfiinkuuicztxq">
        <w:r>
          <w:rPr>
            <w:rStyle w:val="Hyperlink"/>
            <w:rFonts w:ascii="Arial" w:cs="Arial" w:eastAsia="Arial" w:hAnsi="Arial"/>
            <w:sz w:val="20"/>
            <w:szCs w:val="20"/>
          </w:rPr>
          <w:t xml:space="preserve">Databricks - Retrieval Augmented Generation (RAG)</w:t>
        </w:r>
      </w:hyperlink>
    </w:p>
    <w:p>
      <w:pPr>
        <w:spacing w:after="60"/>
      </w:pPr>
      <w:r>
        <w:rPr>
          <w:rFonts w:ascii="Arial" w:cs="Arial" w:eastAsia="Arial" w:hAnsi="Arial"/>
          <w:sz w:val="20"/>
          <w:szCs w:val="20"/>
        </w:rPr>
        <w:t xml:space="preserve">🌐 </w:t>
      </w:r>
      <w:hyperlink w:history="1" r:id="rIdwr9y4er-f2zlhs-ddi9-u">
        <w:r>
          <w:rPr>
            <w:rStyle w:val="Hyperlink"/>
            <w:rFonts w:ascii="Arial" w:cs="Arial" w:eastAsia="Arial" w:hAnsi="Arial"/>
            <w:sz w:val="20"/>
            <w:szCs w:val="20"/>
          </w:rPr>
          <w:t xml:space="preserve">LlamaIndex Documentation (alternative to LangChain)</w:t>
        </w:r>
      </w:hyperlink>
    </w:p>
    <w:p>
      <w:pPr>
        <w:spacing w:after="60"/>
      </w:pPr>
      <w:r>
        <w:rPr>
          <w:rFonts w:ascii="Arial" w:cs="Arial" w:eastAsia="Arial" w:hAnsi="Arial"/>
          <w:sz w:val="20"/>
          <w:szCs w:val="20"/>
        </w:rPr>
        <w:t xml:space="preserve">🌐 </w:t>
      </w:r>
      <w:hyperlink w:history="1" r:id="rId7wy7i8m3g-cflosbtqjma">
        <w:r>
          <w:rPr>
            <w:rStyle w:val="Hyperlink"/>
            <w:rFonts w:ascii="Arial" w:cs="Arial" w:eastAsia="Arial" w:hAnsi="Arial"/>
            <w:sz w:val="20"/>
            <w:szCs w:val="20"/>
          </w:rPr>
          <w:t xml:space="preserve">Pinecone - RAG Guide (comprehensive tutorial)</w:t>
        </w:r>
      </w:hyperlink>
    </w:p>
    <w:p>
      <w:pPr>
        <w:pStyle w:val="Heading2"/>
        <w:spacing w:after="160" w:before="280"/>
      </w:pPr>
      <w:r>
        <w:rPr>
          <w:rFonts w:ascii="Arial" w:cs="Arial" w:eastAsia="Arial" w:hAnsi="Arial"/>
          <w:b/>
          <w:bCs/>
          <w:color w:val="1F3864"/>
          <w:sz w:val="28"/>
          <w:szCs w:val="28"/>
        </w:rPr>
        <w:t xml:space="preserve">4.1 The End-to-End RAG Pipeline</w:t>
      </w:r>
    </w:p>
    <w:p>
      <w:pPr>
        <w:spacing w:after="160"/>
      </w:pPr>
      <w:r>
        <w:rPr>
          <w:rFonts w:ascii="Arial" w:cs="Arial" w:eastAsia="Arial" w:hAnsi="Arial"/>
          <w:sz w:val="22"/>
          <w:szCs w:val="22"/>
        </w:rPr>
        <w:t xml:space="preserve">A RAG pipeline has two phases: indexing (offline, done once per filing update) and querying (online, done per question). During indexing, you load documents, split them into chunks, generate embeddings, and store them in a vector database. During querying, you embed the user's question, retrieve the most relevant chunks, construct a prompt with the question and retrieved context, call the LLM, and return the answer with source citations.</w:t>
      </w:r>
    </w:p>
    <w:p>
      <w:pPr>
        <w:spacing w:after="160"/>
      </w:pPr>
      <w:r>
        <w:rPr>
          <w:rFonts w:ascii="Arial" w:cs="Arial" w:eastAsia="Arial" w:hAnsi="Arial"/>
          <w:sz w:val="22"/>
          <w:szCs w:val="22"/>
        </w:rPr>
        <w:t xml:space="preserve">The quality of a RAG system depends on every component in this pipeline, and failures compound. A weak chunking strategy produces chunks that split sentences mid-thought, reducing retrieval quality. A poor embedding model fails to capture domain-specific terminology, so relevant chunks are not found. A basic retrieval strategy returns redundant results, wasting context window space. A weak prompt fails to prevent hallucination. You must optimize each component individually and measure end-to-end quality on a representative test set.</w:t>
      </w:r>
    </w:p>
    <w:p>
      <w:pPr>
        <w:spacing w:after="160"/>
      </w:pPr>
      <w:r>
        <w:rPr>
          <w:rFonts w:ascii="Arial" w:cs="Arial" w:eastAsia="Arial" w:hAnsi="Arial"/>
          <w:sz w:val="22"/>
          <w:szCs w:val="22"/>
        </w:rPr>
        <w:t xml:space="preserve">A practical architecture decision is the retrieval window size: how many chunks to retrieve and include in the prompt. Too few chunks (k=1-2) risk missing important context - the answer might be split across two chunks, and retrieving only one produces an incomplete answer. Too many chunks (k=15-20) flood the prompt with mostly irrelevant text, increasing cost and potentially confusing the model. For Canadian bank filing analysis, k=5-8 with MMR diversification is a good starting point. Measure answer quality at different values of k on your test set.</w:t>
      </w:r>
    </w:p>
    <w:p>
      <w:pPr>
        <w:pStyle w:val="Heading2"/>
        <w:spacing w:after="160" w:before="280"/>
      </w:pPr>
      <w:r>
        <w:rPr>
          <w:rFonts w:ascii="Arial" w:cs="Arial" w:eastAsia="Arial" w:hAnsi="Arial"/>
          <w:b/>
          <w:bCs/>
          <w:color w:val="1F3864"/>
          <w:sz w:val="28"/>
          <w:szCs w:val="28"/>
        </w:rPr>
        <w:t xml:space="preserve">4.2 RAG with LangChain</w:t>
      </w:r>
    </w:p>
    <w:p>
      <w:pPr>
        <w:spacing w:after="160"/>
      </w:pPr>
      <w:r>
        <w:rPr>
          <w:rFonts w:ascii="Arial" w:cs="Arial" w:eastAsia="Arial" w:hAnsi="Arial"/>
          <w:sz w:val="22"/>
          <w:szCs w:val="22"/>
        </w:rPr>
        <w:t xml:space="preserve">LangChain is the most widely used framework for building LLM applications. It provides abstractions for document loading, text splitting, embedding, vector storage, retrieval, prompt templates, and chain composition. For RAG, the key LangChain components are: RecursiveCharacterTextSplitter (for chunking), Chroma (vector store integration), ChatPromptTemplate (prompt construction), and RetrievalQA (the RAG chain that ties everything together).</w:t>
      </w:r>
    </w:p>
    <w:p>
      <w:pPr>
        <w:spacing w:after="160"/>
      </w:pPr>
      <w:r>
        <w:rPr>
          <w:rFonts w:ascii="Arial" w:cs="Arial" w:eastAsia="Arial" w:hAnsi="Arial"/>
          <w:sz w:val="22"/>
          <w:szCs w:val="22"/>
        </w:rPr>
        <w:t xml:space="preserve">LangChain's strength is composability: you can swap out any component without changing the rest of the pipeline. Switch from OpenAI embeddings to Hugging Face embeddings by changing one line. Swap ChromaDB for Pinecone by changing the vector store class. Replace GPT-4o-mini with Claude or a local model by changing the LLM class. This modularity is valuable during development when you are experimenting with different configurations.</w:t>
      </w:r>
    </w:p>
    <w:p>
      <w:pPr>
        <w:spacing w:after="160"/>
      </w:pPr>
      <w:r>
        <w:rPr>
          <w:rFonts w:ascii="Arial" w:cs="Arial" w:eastAsia="Arial" w:hAnsi="Arial"/>
          <w:sz w:val="22"/>
          <w:szCs w:val="22"/>
        </w:rPr>
        <w:t xml:space="preserve">A common LangChain pattern for RAG is the 'stuff' chain type, which concatenates all retrieved documents into a single prompt. This works well when retrieved chunks are short and fit within the context window. For longer retrieved contexts, the 'map_reduce' chain type processes each chunk independently, then combines the results. For compliance applications, 'stuff' is usually preferred because it allows the model to cross-reference information across chunks in a single pass.</w:t>
      </w:r>
    </w:p>
    <w:p>
      <w:pPr>
        <w:spacing w:after="160"/>
      </w:pPr>
      <w:r>
        <w:rPr>
          <w:rFonts w:ascii="Arial" w:cs="Arial" w:eastAsia="Arial" w:hAnsi="Arial"/>
          <w:sz w:val="22"/>
          <w:szCs w:val="22"/>
        </w:rPr>
        <w:t xml:space="preserve">See demos/05_langchain_rag.py for a complete LangChain RAG pipeline using Canadian bank filings, including document loading, chunking, ChromaDB setup, prompt engineering, and query execution with source document tracking.</w:t>
      </w:r>
    </w:p>
    <w:p>
      <w:pPr>
        <w:pStyle w:val="Heading2"/>
        <w:spacing w:after="160" w:before="280"/>
      </w:pPr>
      <w:r>
        <w:rPr>
          <w:rFonts w:ascii="Arial" w:cs="Arial" w:eastAsia="Arial" w:hAnsi="Arial"/>
          <w:b/>
          <w:bCs/>
          <w:color w:val="1F3864"/>
          <w:sz w:val="28"/>
          <w:szCs w:val="28"/>
        </w:rPr>
        <w:t xml:space="preserve">4.3 Advanced RAG Patterns</w:t>
      </w:r>
    </w:p>
    <w:p>
      <w:pPr>
        <w:spacing w:after="160"/>
      </w:pPr>
      <w:r>
        <w:rPr>
          <w:rFonts w:ascii="Arial" w:cs="Arial" w:eastAsia="Arial" w:hAnsi="Arial"/>
          <w:sz w:val="22"/>
          <w:szCs w:val="22"/>
        </w:rPr>
        <w:t xml:space="preserve">Several advanced RAG patterns improve quality beyond the basic retrieve-and-generate pipeline:</w:t>
      </w:r>
    </w:p>
    <w:p>
      <w:pPr>
        <w:spacing w:after="160"/>
      </w:pPr>
      <w:r>
        <w:rPr>
          <w:rFonts w:ascii="Arial" w:cs="Arial" w:eastAsia="Arial" w:hAnsi="Arial"/>
          <w:b/>
          <w:bCs/>
          <w:sz w:val="22"/>
          <w:szCs w:val="22"/>
        </w:rPr>
        <w:t xml:space="preserve">Re-ranking: </w:t>
      </w:r>
      <w:r>
        <w:rPr>
          <w:rFonts w:ascii="Arial" w:cs="Arial" w:eastAsia="Arial" w:hAnsi="Arial"/>
          <w:sz w:val="22"/>
          <w:szCs w:val="22"/>
        </w:rPr>
        <w:t xml:space="preserve">After initial retrieval, use a cross-encoder model (or an LLM call) to re-rank the retrieved chunks by relevance to the specific question. The initial retrieval uses fast but approximate bi-encoder similarity; re-ranking uses slower but more accurate cross-encoder scoring. This can significantly improve the quality of the top-k chunks at the cost of additional latency.</w:t>
      </w:r>
    </w:p>
    <w:p>
      <w:pPr>
        <w:spacing w:after="160"/>
      </w:pPr>
      <w:r>
        <w:rPr>
          <w:rFonts w:ascii="Arial" w:cs="Arial" w:eastAsia="Arial" w:hAnsi="Arial"/>
          <w:b/>
          <w:bCs/>
          <w:sz w:val="22"/>
          <w:szCs w:val="22"/>
        </w:rPr>
        <w:t xml:space="preserve">Self-RAG (Self-Reflective RAG): </w:t>
      </w:r>
      <w:r>
        <w:rPr>
          <w:rFonts w:ascii="Arial" w:cs="Arial" w:eastAsia="Arial" w:hAnsi="Arial"/>
          <w:sz w:val="22"/>
          <w:szCs w:val="22"/>
        </w:rPr>
        <w:t xml:space="preserve">After generating an answer, the model evaluates whether its response is faithful to the retrieved context. If not, it retrieves additional chunks and regenerates. This self-checking loop reduces hallucination at the cost of additional API calls.</w:t>
      </w:r>
    </w:p>
    <w:p>
      <w:pPr>
        <w:spacing w:after="160"/>
      </w:pPr>
      <w:r>
        <w:rPr>
          <w:rFonts w:ascii="Arial" w:cs="Arial" w:eastAsia="Arial" w:hAnsi="Arial"/>
          <w:b/>
          <w:bCs/>
          <w:sz w:val="22"/>
          <w:szCs w:val="22"/>
        </w:rPr>
        <w:t xml:space="preserve">Parent-Child Chunking: </w:t>
      </w:r>
      <w:r>
        <w:rPr>
          <w:rFonts w:ascii="Arial" w:cs="Arial" w:eastAsia="Arial" w:hAnsi="Arial"/>
          <w:sz w:val="22"/>
          <w:szCs w:val="22"/>
        </w:rPr>
        <w:t xml:space="preserve">Store small chunks (200-300 tokens) for precise retrieval, but return the larger parent chunk (1000-1500 tokens) as context. This gives the model more surrounding context while maintaining retrieval precision. Particularly useful for financial filings where a single sentence may be the best match, but the full paragraph is needed for context.</w:t>
      </w:r>
    </w:p>
    <w:p>
      <w:pPr>
        <w:spacing w:after="160"/>
      </w:pPr>
      <w:r>
        <w:rPr>
          <w:rFonts w:ascii="Arial" w:cs="Arial" w:eastAsia="Arial" w:hAnsi="Arial"/>
          <w:b/>
          <w:bCs/>
          <w:sz w:val="22"/>
          <w:szCs w:val="22"/>
        </w:rPr>
        <w:t xml:space="preserve">Multi-Query Retrieval: </w:t>
      </w:r>
      <w:r>
        <w:rPr>
          <w:rFonts w:ascii="Arial" w:cs="Arial" w:eastAsia="Arial" w:hAnsi="Arial"/>
          <w:sz w:val="22"/>
          <w:szCs w:val="22"/>
        </w:rPr>
        <w:t xml:space="preserve">Generate multiple reformulations of the user's question, retrieve chunks for each, and deduplicate. This addresses the problem that a single query embedding may not capture all aspects of a complex question. For example, 'How did RBC's risk profile change in 2024?' might be reformulated into queries about credit risk, market risk, operational risk, and climate risk separately.</w:t>
      </w:r>
    </w:p>
    <w:p>
      <w:pPr>
        <w:pStyle w:val="Heading2"/>
        <w:spacing w:after="160" w:before="280"/>
      </w:pPr>
      <w:r>
        <w:rPr>
          <w:rFonts w:ascii="Arial" w:cs="Arial" w:eastAsia="Arial" w:hAnsi="Arial"/>
          <w:b/>
          <w:bCs/>
          <w:color w:val="1F3864"/>
          <w:sz w:val="28"/>
          <w:szCs w:val="28"/>
        </w:rPr>
        <w:t xml:space="preserve">4.4 RAG on Databricks</w:t>
      </w:r>
    </w:p>
    <w:p>
      <w:pPr>
        <w:spacing w:after="160"/>
      </w:pPr>
      <w:r>
        <w:rPr>
          <w:rFonts w:ascii="Arial" w:cs="Arial" w:eastAsia="Arial" w:hAnsi="Arial"/>
          <w:sz w:val="22"/>
          <w:szCs w:val="22"/>
        </w:rPr>
        <w:t xml:space="preserve">Databricks provides an integrated environment for building production RAG systems. Key components include: Databricks Vector Search (a managed vector database that integrates with Unity Catalog for governance), Foundation Model APIs (access to hosted models like DBRX, Llama, and third-party models through Model Serving), and MLflow (for experiment tracking and model registry). See demos/06_databricks_rag_overview.py for a conceptual reference of the Databricks RAG architecture.</w:t>
      </w:r>
    </w:p>
    <w:p>
      <w:pPr>
        <w:spacing w:after="160"/>
      </w:pPr>
      <w:r>
        <w:rPr>
          <w:rFonts w:ascii="Arial" w:cs="Arial" w:eastAsia="Arial" w:hAnsi="Arial"/>
          <w:sz w:val="22"/>
          <w:szCs w:val="22"/>
        </w:rPr>
        <w:t xml:space="preserve">For Canadian financial institutions, Databricks offers important compliance advantages: data residency in Canadian regions (Azure Canada Central, Canada East), Unity Catalog for data governance and access control, and built-in audit logging. These features help address OSFI's requirements for data management and model governance under Guideline E-23. The Vector Search sync with Delta tables means your filing data is versioned, auditable, and governed by the same access controls as your other regulated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Production RAG Architecture</w:t>
            </w:r>
          </w:p>
          <w:p>
            <w:pPr>
              <w:spacing w:after="80"/>
            </w:pPr>
            <w:r>
              <w:rPr>
                <w:rFonts w:ascii="Arial" w:cs="Arial" w:eastAsia="Arial" w:hAnsi="Arial"/>
                <w:sz w:val="20"/>
                <w:szCs w:val="20"/>
              </w:rPr>
              <w:t xml:space="preserve">Separate your indexing pipeline from your query pipeline. Indexing runs as a batch job when new filings are available. Querying runs in real-time.</w:t>
            </w:r>
          </w:p>
          <w:p>
            <w:pPr>
              <w:spacing w:after="80"/>
            </w:pPr>
            <w:r>
              <w:rPr>
                <w:rFonts w:ascii="Arial" w:cs="Arial" w:eastAsia="Arial" w:hAnsi="Arial"/>
                <w:sz w:val="20"/>
                <w:szCs w:val="20"/>
              </w:rPr>
              <w:t xml:space="preserve">Version your vector store alongside your embedding model. If you change the embedding model, you must re-embed all chunks.</w:t>
            </w:r>
          </w:p>
          <w:p>
            <w:pPr>
              <w:spacing w:after="80"/>
            </w:pPr>
            <w:r>
              <w:rPr>
                <w:rFonts w:ascii="Arial" w:cs="Arial" w:eastAsia="Arial" w:hAnsi="Arial"/>
                <w:sz w:val="20"/>
                <w:szCs w:val="20"/>
              </w:rPr>
              <w:t xml:space="preserve">Implement a fallback strategy. If the retriever returns no results above a similarity threshold, say 'No relevant information found' rather than hallucinating.</w:t>
            </w:r>
          </w:p>
          <w:p>
            <w:pPr>
              <w:spacing w:after="80"/>
            </w:pPr>
            <w:r>
              <w:rPr>
                <w:rFonts w:ascii="Arial" w:cs="Arial" w:eastAsia="Arial" w:hAnsi="Arial"/>
                <w:sz w:val="20"/>
                <w:szCs w:val="20"/>
              </w:rPr>
              <w:t xml:space="preserve">Cache frequent queries. Compliance analysts often ask similar questions about different banks. Cache embedding and retrieval results for common patterns.</w:t>
            </w:r>
          </w:p>
          <w:p>
            <w:pPr>
              <w:spacing w:after="80"/>
            </w:pPr>
            <w:r>
              <w:rPr>
                <w:rFonts w:ascii="Arial" w:cs="Arial" w:eastAsia="Arial" w:hAnsi="Arial"/>
                <w:sz w:val="20"/>
                <w:szCs w:val="20"/>
              </w:rPr>
              <w:t xml:space="preserve">For Canadian bank deployments, ensure data stays in Canada. Use Azure Canada regions or on-premises infrastructure. OSFI Guideline B-10 applies to cloud outsourcing.</w:t>
            </w:r>
          </w:p>
          <w:p>
            <w:pPr>
              <w:spacing w:after="80"/>
            </w:pPr>
            <w:r>
              <w:rPr>
                <w:rFonts w:ascii="Arial" w:cs="Arial" w:eastAsia="Arial" w:hAnsi="Arial"/>
                <w:sz w:val="20"/>
                <w:szCs w:val="20"/>
              </w:rPr>
              <w:t xml:space="preserve">Monitor retrieval latency in production. If p99 latency exceeds 2 seconds, consider pre-computing embeddings for common queries or using a faster vector database.</w:t>
            </w:r>
          </w:p>
        </w:tc>
      </w:tr>
    </w:tbl>
    <w:p>
      <w:r>
        <w:br w:type="page"/>
      </w:r>
    </w:p>
    <w:p>
      <w:pPr>
        <w:pStyle w:val="Heading1"/>
        <w:spacing w:after="200" w:before="360"/>
      </w:pPr>
      <w:r>
        <w:rPr>
          <w:rFonts w:ascii="Arial" w:cs="Arial" w:eastAsia="Arial" w:hAnsi="Arial"/>
          <w:b/>
          <w:bCs/>
          <w:color w:val="1F3864"/>
          <w:sz w:val="32"/>
          <w:szCs w:val="32"/>
        </w:rPr>
        <w:t xml:space="preserve">Topic 5: Building Agentic AI Systems</w:t>
      </w:r>
    </w:p>
    <w:p>
      <w:pPr>
        <w:spacing w:after="160"/>
      </w:pPr>
      <w:r>
        <w:rPr>
          <w:rFonts w:ascii="Arial" w:cs="Arial" w:eastAsia="Arial" w:hAnsi="Arial"/>
          <w:sz w:val="22"/>
          <w:szCs w:val="22"/>
        </w:rPr>
        <w:t xml:space="preserve">Agentic AI extends LLMs beyond simple question-answering into multi-step reasoning and action. An agent can decide which tools to use, execute them, interpret the results, and chain multiple steps together to answer complex questions. For compliance workflows, agents enable powerful capabilities like cross-filing comparison, trend analysis, and automated report generation that require multiple retrieval and reasoning steps. This topic covers tool use, agent architectures, and practical implementation for financial compliance.</w:t>
      </w:r>
    </w:p>
    <w:p>
      <w:pPr>
        <w:spacing w:after="120"/>
      </w:pPr>
      <w:r>
        <w:rPr>
          <w:rFonts w:ascii="Arial" w:cs="Arial" w:eastAsia="Arial" w:hAnsi="Arial"/>
          <w:b/>
          <w:bCs/>
          <w:color w:val="1F3864"/>
          <w:sz w:val="22"/>
          <w:szCs w:val="22"/>
        </w:rPr>
        <w:t xml:space="preserve">🎥 Recommended Video Resources</w:t>
      </w:r>
    </w:p>
    <w:p>
      <w:pPr>
        <w:spacing w:after="60"/>
      </w:pPr>
      <w:r>
        <w:rPr>
          <w:rFonts w:ascii="Arial" w:cs="Arial" w:eastAsia="Arial" w:hAnsi="Arial"/>
          <w:sz w:val="20"/>
          <w:szCs w:val="20"/>
        </w:rPr>
        <w:t xml:space="preserve">▶ </w:t>
      </w:r>
      <w:hyperlink w:history="1" r:id="rIdd7bdb4n9jskapn8n3u1c0">
        <w:r>
          <w:rPr>
            <w:rStyle w:val="Hyperlink"/>
            <w:rFonts w:ascii="Arial" w:cs="Arial" w:eastAsia="Arial" w:hAnsi="Arial"/>
            <w:sz w:val="20"/>
            <w:szCs w:val="20"/>
          </w:rPr>
          <w:t xml:space="preserve">DeepLearning.AI: Functions, Tools and Agents with LangChain</w:t>
        </w:r>
      </w:hyperlink>
    </w:p>
    <w:p>
      <w:pPr>
        <w:spacing w:after="60"/>
      </w:pPr>
      <w:r>
        <w:rPr>
          <w:rFonts w:ascii="Arial" w:cs="Arial" w:eastAsia="Arial" w:hAnsi="Arial"/>
          <w:sz w:val="20"/>
          <w:szCs w:val="20"/>
        </w:rPr>
        <w:t xml:space="preserve">▶ </w:t>
      </w:r>
      <w:hyperlink w:history="1" r:id="rIdi8cyd-wpcy8xktezeegxb">
        <w:r>
          <w:rPr>
            <w:rStyle w:val="Hyperlink"/>
            <w:rFonts w:ascii="Arial" w:cs="Arial" w:eastAsia="Arial" w:hAnsi="Arial"/>
            <w:sz w:val="20"/>
            <w:szCs w:val="20"/>
          </w:rPr>
          <w:t xml:space="preserve">DeepLearning.AI: AI Agents in LangGraph</w:t>
        </w:r>
      </w:hyperlink>
    </w:p>
    <w:p>
      <w:pPr>
        <w:spacing w:after="60"/>
      </w:pPr>
      <w:r>
        <w:rPr>
          <w:rFonts w:ascii="Arial" w:cs="Arial" w:eastAsia="Arial" w:hAnsi="Arial"/>
          <w:sz w:val="20"/>
          <w:szCs w:val="20"/>
        </w:rPr>
        <w:t xml:space="preserve">▶ </w:t>
      </w:r>
      <w:hyperlink w:history="1" r:id="rId5xuq6cu9ontlxtkg_okw9">
        <w:r>
          <w:rPr>
            <w:rStyle w:val="Hyperlink"/>
            <w:rFonts w:ascii="Arial" w:cs="Arial" w:eastAsia="Arial" w:hAnsi="Arial"/>
            <w:sz w:val="20"/>
            <w:szCs w:val="20"/>
          </w:rPr>
          <w:t xml:space="preserve">YouTube: Building AI Agents (Full Course, freeCodeCamp)</w:t>
        </w:r>
      </w:hyperlink>
    </w:p>
    <w:p>
      <w:pPr>
        <w:spacing w:after="60"/>
      </w:pPr>
      <w:r>
        <w:rPr>
          <w:rFonts w:ascii="Arial" w:cs="Arial" w:eastAsia="Arial" w:hAnsi="Arial"/>
          <w:sz w:val="20"/>
          <w:szCs w:val="20"/>
        </w:rPr>
        <w:t xml:space="preserve">▶ </w:t>
      </w:r>
      <w:hyperlink w:history="1" r:id="rIdihnaogrjkddnb8nwra7ur">
        <w:r>
          <w:rPr>
            <w:rStyle w:val="Hyperlink"/>
            <w:rFonts w:ascii="Arial" w:cs="Arial" w:eastAsia="Arial" w:hAnsi="Arial"/>
            <w:sz w:val="20"/>
            <w:szCs w:val="20"/>
          </w:rPr>
          <w:t xml:space="preserve">YouTube: AI Agents Explained (IBM Technology)</w:t>
        </w:r>
      </w:hyperlink>
    </w:p>
    <w:p>
      <w:pPr>
        <w:spacing w:after="120"/>
      </w:pPr>
      <w:r>
        <w:rPr>
          <w:rFonts w:ascii="Arial" w:cs="Arial" w:eastAsia="Arial" w:hAnsi="Arial"/>
          <w:b/>
          <w:bCs/>
          <w:color w:val="1F3864"/>
          <w:sz w:val="22"/>
          <w:szCs w:val="22"/>
        </w:rPr>
        <w:t xml:space="preserve">🌐 Recommended Websites &amp; Reading</w:t>
      </w:r>
    </w:p>
    <w:p>
      <w:pPr>
        <w:spacing w:after="60"/>
      </w:pPr>
      <w:r>
        <w:rPr>
          <w:rFonts w:ascii="Arial" w:cs="Arial" w:eastAsia="Arial" w:hAnsi="Arial"/>
          <w:sz w:val="20"/>
          <w:szCs w:val="20"/>
        </w:rPr>
        <w:t xml:space="preserve">🌐 </w:t>
      </w:r>
      <w:hyperlink w:history="1" r:id="rIdq59dapclp8o7mrnaeb_qz">
        <w:r>
          <w:rPr>
            <w:rStyle w:val="Hyperlink"/>
            <w:rFonts w:ascii="Arial" w:cs="Arial" w:eastAsia="Arial" w:hAnsi="Arial"/>
            <w:sz w:val="20"/>
            <w:szCs w:val="20"/>
          </w:rPr>
          <w:t xml:space="preserve">OpenAI Function Calling Guide (official)</w:t>
        </w:r>
      </w:hyperlink>
    </w:p>
    <w:p>
      <w:pPr>
        <w:spacing w:after="60"/>
      </w:pPr>
      <w:r>
        <w:rPr>
          <w:rFonts w:ascii="Arial" w:cs="Arial" w:eastAsia="Arial" w:hAnsi="Arial"/>
          <w:sz w:val="20"/>
          <w:szCs w:val="20"/>
        </w:rPr>
        <w:t xml:space="preserve">🌐 </w:t>
      </w:r>
      <w:hyperlink w:history="1" r:id="rIdl23x01g_ndgpn8aaovdcn">
        <w:r>
          <w:rPr>
            <w:rStyle w:val="Hyperlink"/>
            <w:rFonts w:ascii="Arial" w:cs="Arial" w:eastAsia="Arial" w:hAnsi="Arial"/>
            <w:sz w:val="20"/>
            <w:szCs w:val="20"/>
          </w:rPr>
          <w:t xml:space="preserve">LangChain Agents Documentation (official)</w:t>
        </w:r>
      </w:hyperlink>
    </w:p>
    <w:p>
      <w:pPr>
        <w:spacing w:after="60"/>
      </w:pPr>
      <w:r>
        <w:rPr>
          <w:rFonts w:ascii="Arial" w:cs="Arial" w:eastAsia="Arial" w:hAnsi="Arial"/>
          <w:sz w:val="20"/>
          <w:szCs w:val="20"/>
        </w:rPr>
        <w:t xml:space="preserve">🌐 </w:t>
      </w:r>
      <w:hyperlink w:history="1" r:id="rIdgqebbjnvpghjoki835k8j">
        <w:r>
          <w:rPr>
            <w:rStyle w:val="Hyperlink"/>
            <w:rFonts w:ascii="Arial" w:cs="Arial" w:eastAsia="Arial" w:hAnsi="Arial"/>
            <w:sz w:val="20"/>
            <w:szCs w:val="20"/>
          </w:rPr>
          <w:t xml:space="preserve">LangGraph Documentation - Building Agents</w:t>
        </w:r>
      </w:hyperlink>
    </w:p>
    <w:p>
      <w:pPr>
        <w:spacing w:after="60"/>
      </w:pPr>
      <w:r>
        <w:rPr>
          <w:rFonts w:ascii="Arial" w:cs="Arial" w:eastAsia="Arial" w:hAnsi="Arial"/>
          <w:sz w:val="20"/>
          <w:szCs w:val="20"/>
        </w:rPr>
        <w:t xml:space="preserve">🌐 </w:t>
      </w:r>
      <w:hyperlink w:history="1" r:id="rIdhgdvbmxz2wpmfiznypn24">
        <w:r>
          <w:rPr>
            <w:rStyle w:val="Hyperlink"/>
            <w:rFonts w:ascii="Arial" w:cs="Arial" w:eastAsia="Arial" w:hAnsi="Arial"/>
            <w:sz w:val="20"/>
            <w:szCs w:val="20"/>
          </w:rPr>
          <w:t xml:space="preserve">Lilian Weng - LLM-Powered Autonomous Agents (survey)</w:t>
        </w:r>
      </w:hyperlink>
    </w:p>
    <w:p>
      <w:pPr>
        <w:spacing w:after="60"/>
      </w:pPr>
      <w:r>
        <w:rPr>
          <w:rFonts w:ascii="Arial" w:cs="Arial" w:eastAsia="Arial" w:hAnsi="Arial"/>
          <w:sz w:val="20"/>
          <w:szCs w:val="20"/>
        </w:rPr>
        <w:t xml:space="preserve">🌐 </w:t>
      </w:r>
      <w:hyperlink w:history="1" r:id="rIdu7bsvyymz50dhso1jkfwx">
        <w:r>
          <w:rPr>
            <w:rStyle w:val="Hyperlink"/>
            <w:rFonts w:ascii="Arial" w:cs="Arial" w:eastAsia="Arial" w:hAnsi="Arial"/>
            <w:sz w:val="20"/>
            <w:szCs w:val="20"/>
          </w:rPr>
          <w:t xml:space="preserve">Anthropic - Tool Use Documentation</w:t>
        </w:r>
      </w:hyperlink>
    </w:p>
    <w:p>
      <w:pPr>
        <w:pStyle w:val="Heading2"/>
        <w:spacing w:after="160" w:before="280"/>
      </w:pPr>
      <w:r>
        <w:rPr>
          <w:rFonts w:ascii="Arial" w:cs="Arial" w:eastAsia="Arial" w:hAnsi="Arial"/>
          <w:b/>
          <w:bCs/>
          <w:color w:val="1F3864"/>
          <w:sz w:val="28"/>
          <w:szCs w:val="28"/>
        </w:rPr>
        <w:t xml:space="preserve">5.1 Tool Use and Function Calling</w:t>
      </w:r>
    </w:p>
    <w:p>
      <w:pPr>
        <w:spacing w:after="160"/>
      </w:pPr>
      <w:r>
        <w:rPr>
          <w:rFonts w:ascii="Arial" w:cs="Arial" w:eastAsia="Arial" w:hAnsi="Arial"/>
          <w:sz w:val="22"/>
          <w:szCs w:val="22"/>
        </w:rPr>
        <w:t xml:space="preserve">Function calling (tool use) allows an LLM to request the execution of external functions. Instead of answering a question directly, the model outputs a structured request to call a specific function with specific arguments. Your code executes the function, returns the result, and the model uses the result to formulate its answer. This is a fundamental shift from 'the model generates text' to 'the model orchestrates actions.'</w:t>
      </w:r>
    </w:p>
    <w:p>
      <w:pPr>
        <w:spacing w:after="160"/>
      </w:pPr>
      <w:r>
        <w:rPr>
          <w:rFonts w:ascii="Arial" w:cs="Arial" w:eastAsia="Arial" w:hAnsi="Arial"/>
          <w:sz w:val="22"/>
          <w:szCs w:val="22"/>
        </w:rPr>
        <w:t xml:space="preserve">The technical flow of function calling is: (1) you define available tools as JSON schemas describing each function's name, description, and parameters; (2) you send the user's question along with the tool definitions to the LLM; (3) the LLM decides whether to call a tool (and which one, with what arguments) or answer directly; (4) if a tool call is requested, your code extracts the function name and arguments, executes the function, and sends the result back; (5) the LLM generates a final answer incorporating the tool results. This loop may repeat multiple times for complex queries.</w:t>
      </w:r>
    </w:p>
    <w:p>
      <w:pPr>
        <w:spacing w:after="160"/>
      </w:pPr>
      <w:r>
        <w:rPr>
          <w:rFonts w:ascii="Arial" w:cs="Arial" w:eastAsia="Arial" w:hAnsi="Arial"/>
          <w:sz w:val="22"/>
          <w:szCs w:val="22"/>
        </w:rPr>
        <w:t xml:space="preserve">For the compliance RAG system, useful tools include: search_filings (search the vector database for relevant chunks, with optional bank and section filters), get_filing_list (list available filings for a bank and time period), compare_sections (retrieve the same section from two different periods for side-by-side comparison), and extract_metrics (extract specific financial metrics like PCL, LCR, or VaR from a passage and return them as structured data). Each tool should have a clear, descriptive name and a detailed description that helps the LLM decide when to use it.</w:t>
      </w:r>
    </w:p>
    <w:p>
      <w:pPr>
        <w:spacing w:after="160"/>
      </w:pPr>
      <w:r>
        <w:rPr>
          <w:rFonts w:ascii="Arial" w:cs="Arial" w:eastAsia="Arial" w:hAnsi="Arial"/>
          <w:sz w:val="22"/>
          <w:szCs w:val="22"/>
        </w:rPr>
        <w:t xml:space="preserve">A critical design decision is the tool description. The LLM uses the description to decide whether and when to call the tool. A vague description like 'search for stuff' produces poor tool selection. A precise description like 'Search Canadian bank annual reports and quarterly filings for passages relevant to a compliance query. Supports filtering by bank name, filing type, section, and fiscal year. Returns the top 5 most relevant passages with source citations.' enables the LLM to make appropriate tool calls with correct arguments.</w:t>
      </w:r>
    </w:p>
    <w:p>
      <w:pPr>
        <w:spacing w:after="160"/>
      </w:pPr>
      <w:r>
        <w:rPr>
          <w:rFonts w:ascii="Arial" w:cs="Arial" w:eastAsia="Arial" w:hAnsi="Arial"/>
          <w:sz w:val="22"/>
          <w:szCs w:val="22"/>
        </w:rPr>
        <w:t xml:space="preserve">See demos/07_tool_calling.py for a complete tool-calling implementation with Canadian bank filing tools, including tool schemas, execution logic, and multi-step agent loops.</w:t>
      </w:r>
    </w:p>
    <w:p>
      <w:pPr>
        <w:pStyle w:val="Heading2"/>
        <w:spacing w:after="160" w:before="280"/>
      </w:pPr>
      <w:r>
        <w:rPr>
          <w:rFonts w:ascii="Arial" w:cs="Arial" w:eastAsia="Arial" w:hAnsi="Arial"/>
          <w:b/>
          <w:bCs/>
          <w:color w:val="1F3864"/>
          <w:sz w:val="28"/>
          <w:szCs w:val="28"/>
        </w:rPr>
        <w:t xml:space="preserve">5.2 ReAct and Plan-and-Execute Patterns</w:t>
      </w:r>
    </w:p>
    <w:p>
      <w:pPr>
        <w:spacing w:after="160"/>
      </w:pPr>
      <w:r>
        <w:rPr>
          <w:rFonts w:ascii="Arial" w:cs="Arial" w:eastAsia="Arial" w:hAnsi="Arial"/>
          <w:sz w:val="22"/>
          <w:szCs w:val="22"/>
        </w:rPr>
        <w:t xml:space="preserve">ReAct (Reasoning + Acting) is the most common agent pattern. The agent alternates between thinking (reasoning about what information it needs) and acting (calling tools to get information). After each tool call, it observes the result, reasons about whether it has enough information, and either calls another tool or produces a final answer. This loop continues until the agent has gathered sufficient information or reaches a maximum iteration limit.</w:t>
      </w:r>
    </w:p>
    <w:p>
      <w:pPr>
        <w:spacing w:after="160"/>
      </w:pPr>
      <w:r>
        <w:rPr>
          <w:rFonts w:ascii="Arial" w:cs="Arial" w:eastAsia="Arial" w:hAnsi="Arial"/>
          <w:sz w:val="22"/>
          <w:szCs w:val="22"/>
        </w:rPr>
        <w:t xml:space="preserve">For cross-filing comparison - one of the most valuable compliance use cases - a ReAct agent might follow this sequence: (1) Thought: 'I need to compare RBC's credit risk between 2023 and 2024. Let me first check what filings are available.' (2) Action: call get_filing_list(bank='Royal Bank of Canada') (3) Observation: '2023 and 2024 annual reports available.' (4) Thought: 'Good. Let me retrieve credit risk sections from both years.' (5) Action: call search_filings(query='credit risk provision', bank='Royal Bank of Canada', fiscal_year='2023') (6) Observation: 'PCL was $2.9 billion...' (7) Action: call search_filings(query='credit risk provision', bank='Royal Bank of Canada', fiscal_year='2024') (8) Observation: 'PCL increased to $3.4 billion...' (9) Thought: 'I have both years. Let me compare and identify changes.' (10) Final answer: detailed comparison with citations.</w:t>
      </w:r>
    </w:p>
    <w:p>
      <w:pPr>
        <w:spacing w:after="160"/>
      </w:pPr>
      <w:r>
        <w:rPr>
          <w:rFonts w:ascii="Arial" w:cs="Arial" w:eastAsia="Arial" w:hAnsi="Arial"/>
          <w:sz w:val="22"/>
          <w:szCs w:val="22"/>
        </w:rPr>
        <w:t xml:space="preserve">The Plan-and-Execute pattern is an alternative where the agent first creates a complete plan (a list of steps), then executes each step sequentially. This is useful for complex, multi-step compliance workflows where the analyst wants to review the plan before execution. For example, for a regulatory impact analysis, the plan might be: 'Step 1: Retrieve the new OSFI guideline text. Step 2: Search all 5 banks for related disclosures. Step 3: Assess each bank's compliance status. Step 4: Generate a gap analysis report.' The analyst can review and modify the plan before the agent executes it.</w:t>
      </w:r>
    </w:p>
    <w:p>
      <w:pPr>
        <w:pStyle w:val="Heading2"/>
        <w:spacing w:after="160" w:before="280"/>
      </w:pPr>
      <w:r>
        <w:rPr>
          <w:rFonts w:ascii="Arial" w:cs="Arial" w:eastAsia="Arial" w:hAnsi="Arial"/>
          <w:b/>
          <w:bCs/>
          <w:color w:val="1F3864"/>
          <w:sz w:val="28"/>
          <w:szCs w:val="28"/>
        </w:rPr>
        <w:t xml:space="preserve">5.3 Multi-Step Workflows for Compliance</w:t>
      </w:r>
    </w:p>
    <w:p>
      <w:pPr>
        <w:spacing w:after="160"/>
      </w:pPr>
      <w:r>
        <w:rPr>
          <w:rFonts w:ascii="Arial" w:cs="Arial" w:eastAsia="Arial" w:hAnsi="Arial"/>
          <w:sz w:val="22"/>
          <w:szCs w:val="22"/>
        </w:rPr>
        <w:t xml:space="preserve">Production compliance workflows often require complex multi-step processes. Examples include:</w:t>
      </w:r>
    </w:p>
    <w:p>
      <w:pPr>
        <w:spacing w:after="160"/>
      </w:pPr>
      <w:r>
        <w:rPr>
          <w:rFonts w:ascii="Arial" w:cs="Arial" w:eastAsia="Arial" w:hAnsi="Arial"/>
          <w:b/>
          <w:bCs/>
          <w:sz w:val="22"/>
          <w:szCs w:val="22"/>
        </w:rPr>
        <w:t xml:space="preserve">Peer comparison: </w:t>
      </w:r>
      <w:r>
        <w:rPr>
          <w:rFonts w:ascii="Arial" w:cs="Arial" w:eastAsia="Arial" w:hAnsi="Arial"/>
          <w:sz w:val="22"/>
          <w:szCs w:val="22"/>
        </w:rPr>
        <w:t xml:space="preserve">Retrieve the same risk category from all 5 Canadian banks, extract key metrics, normalize for comparability, and rank by disclosure completeness. For example, 'Compare climate risk disclosure depth across the Big Five' requires searching each bank's most recent annual report, extracting climate-related passages, scoring the depth and specificity of each bank's disclosure, and producing a ranked comparison.</w:t>
      </w:r>
    </w:p>
    <w:p>
      <w:pPr>
        <w:spacing w:after="160"/>
      </w:pPr>
      <w:r>
        <w:rPr>
          <w:rFonts w:ascii="Arial" w:cs="Arial" w:eastAsia="Arial" w:hAnsi="Arial"/>
          <w:b/>
          <w:bCs/>
          <w:sz w:val="22"/>
          <w:szCs w:val="22"/>
        </w:rPr>
        <w:t xml:space="preserve">Trend analysis: </w:t>
      </w:r>
      <w:r>
        <w:rPr>
          <w:rFonts w:ascii="Arial" w:cs="Arial" w:eastAsia="Arial" w:hAnsi="Arial"/>
          <w:sz w:val="22"/>
          <w:szCs w:val="22"/>
        </w:rPr>
        <w:t xml:space="preserve">Retrieve quarterly credit loss data across 8 quarters for a single bank, identify trends and inflection points, and flag any sudden changes. This requires multiple sequential retrieval steps and intermediate data aggregation.</w:t>
      </w:r>
    </w:p>
    <w:p>
      <w:pPr>
        <w:spacing w:after="160"/>
      </w:pPr>
      <w:r>
        <w:rPr>
          <w:rFonts w:ascii="Arial" w:cs="Arial" w:eastAsia="Arial" w:hAnsi="Arial"/>
          <w:b/>
          <w:bCs/>
          <w:sz w:val="22"/>
          <w:szCs w:val="22"/>
        </w:rPr>
        <w:t xml:space="preserve">Regulatory change impact: </w:t>
      </w:r>
      <w:r>
        <w:rPr>
          <w:rFonts w:ascii="Arial" w:cs="Arial" w:eastAsia="Arial" w:hAnsi="Arial"/>
          <w:sz w:val="22"/>
          <w:szCs w:val="22"/>
        </w:rPr>
        <w:t xml:space="preserve">Given a new OSFI guideline, search bank filings for existing practices that align with the new requirements, identify gaps, and produce a compliance readiness assessment for each bank.</w:t>
      </w:r>
    </w:p>
    <w:p>
      <w:pPr>
        <w:spacing w:after="160"/>
      </w:pPr>
      <w:r>
        <w:rPr>
          <w:rFonts w:ascii="Arial" w:cs="Arial" w:eastAsia="Arial" w:hAnsi="Arial"/>
          <w:sz w:val="22"/>
          <w:szCs w:val="22"/>
        </w:rPr>
        <w:t xml:space="preserve">Each of these workflows combines multiple tool calls, intermediate reasoning, and final synthesis. The key design decision is how much autonomy to give the agent. In compliance applications, transparency is paramount: every tool call and its result must be logged for audit purposes. The analyst must be able to trace exactly how the agent arrived at its conclusions. This audit trail is not optional - under OSFI E-23, model outputs used for compliance decisions must be explainable and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Agentic AI for Financial Compliance</w:t>
            </w:r>
          </w:p>
          <w:p>
            <w:pPr>
              <w:spacing w:after="80"/>
            </w:pPr>
            <w:r>
              <w:rPr>
                <w:rFonts w:ascii="Arial" w:cs="Arial" w:eastAsia="Arial" w:hAnsi="Arial"/>
                <w:sz w:val="20"/>
                <w:szCs w:val="20"/>
              </w:rPr>
              <w:t xml:space="preserve">Always set a maximum iteration limit (max_iterations=8-10). Without a limit, agents can loop indefinitely, consuming tokens and cost.</w:t>
            </w:r>
          </w:p>
          <w:p>
            <w:pPr>
              <w:spacing w:after="80"/>
            </w:pPr>
            <w:r>
              <w:rPr>
                <w:rFonts w:ascii="Arial" w:cs="Arial" w:eastAsia="Arial" w:hAnsi="Arial"/>
                <w:sz w:val="20"/>
                <w:szCs w:val="20"/>
              </w:rPr>
              <w:t xml:space="preserve">Log every tool call, its arguments, and its result. This creates an audit trail that compliance reviewers can inspect.</w:t>
            </w:r>
          </w:p>
          <w:p>
            <w:pPr>
              <w:spacing w:after="80"/>
            </w:pPr>
            <w:r>
              <w:rPr>
                <w:rFonts w:ascii="Arial" w:cs="Arial" w:eastAsia="Arial" w:hAnsi="Arial"/>
                <w:sz w:val="20"/>
                <w:szCs w:val="20"/>
              </w:rPr>
              <w:t xml:space="preserve">Track cost per agent run. Complex cross-filing comparisons may require 5-10 LLM calls and cost $0.05-0.50 per query.</w:t>
            </w:r>
          </w:p>
          <w:p>
            <w:pPr>
              <w:spacing w:after="80"/>
            </w:pPr>
            <w:r>
              <w:rPr>
                <w:rFonts w:ascii="Arial" w:cs="Arial" w:eastAsia="Arial" w:hAnsi="Arial"/>
                <w:sz w:val="20"/>
                <w:szCs w:val="20"/>
              </w:rPr>
              <w:t xml:space="preserve">Validate agent outputs against known answers before deploying. Create a test set of complex questions with verified answers.</w:t>
            </w:r>
          </w:p>
          <w:p>
            <w:pPr>
              <w:spacing w:after="80"/>
            </w:pPr>
            <w:r>
              <w:rPr>
                <w:rFonts w:ascii="Arial" w:cs="Arial" w:eastAsia="Arial" w:hAnsi="Arial"/>
                <w:sz w:val="20"/>
                <w:szCs w:val="20"/>
              </w:rPr>
              <w:t xml:space="preserve">For compliance, prefer explicit tool calling over fully autonomous agents. The analyst should understand exactly which tools the agent called and why.</w:t>
            </w:r>
          </w:p>
          <w:p>
            <w:pPr>
              <w:spacing w:after="80"/>
            </w:pPr>
            <w:r>
              <w:rPr>
                <w:rFonts w:ascii="Arial" w:cs="Arial" w:eastAsia="Arial" w:hAnsi="Arial"/>
                <w:sz w:val="20"/>
                <w:szCs w:val="20"/>
              </w:rPr>
              <w:t xml:space="preserve">In Canadian banking, OSFI E-23 requires that model outputs are explainable. Agent execution logs serve as the explainability mechanism.</w:t>
            </w:r>
          </w:p>
          <w:p>
            <w:pPr>
              <w:spacing w:after="80"/>
            </w:pPr>
            <w:r>
              <w:rPr>
                <w:rFonts w:ascii="Arial" w:cs="Arial" w:eastAsia="Arial" w:hAnsi="Arial"/>
                <w:sz w:val="20"/>
                <w:szCs w:val="20"/>
              </w:rPr>
              <w:t xml:space="preserve">Implement a 'human-in-the-loop' option for high-stakes queries. The agent proposes actions, the analyst approves, then the agent executes.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60"/>
              <w:left w:type="dxa" w:w="200"/>
              <w:bottom w:type="dxa" w:w="160"/>
              <w:right w:type="dxa" w:w="200"/>
            </w:tcMar>
          </w:tcPr>
          <w:p>
            <w:pPr>
              <w:spacing w:after="120"/>
            </w:pPr>
            <w:r>
              <w:rPr>
                <w:rFonts w:ascii="Arial" w:cs="Arial" w:eastAsia="Arial" w:hAnsi="Arial"/>
                <w:b/>
                <w:bCs/>
                <w:sz w:val="22"/>
                <w:szCs w:val="22"/>
              </w:rPr>
              <w:t xml:space="preserve">🏗️ Capstone Step 5: Agentic Workflow for Cross-Filing Comparison</w:t>
            </w:r>
          </w:p>
          <w:p>
            <w:pPr>
              <w:spacing w:after="80"/>
            </w:pPr>
            <w:r>
              <w:rPr>
                <w:rFonts w:ascii="Arial" w:cs="Arial" w:eastAsia="Arial" w:hAnsi="Arial"/>
                <w:sz w:val="20"/>
                <w:szCs w:val="20"/>
              </w:rPr>
              <w:t xml:space="preserve">Objective: Build an agent that can compare risk disclosures across banks and time periods, demonstrating multi-step reasoning with tool use.</w:t>
            </w:r>
          </w:p>
          <w:p>
            <w:pPr>
              <w:spacing w:after="80"/>
            </w:pPr>
            <w:r>
              <w:rPr>
                <w:rFonts w:ascii="Arial" w:cs="Arial" w:eastAsia="Arial" w:hAnsi="Arial"/>
                <w:sz w:val="20"/>
                <w:szCs w:val="20"/>
              </w:rPr>
              <w:t xml:space="preserve">What to do:</w:t>
            </w:r>
          </w:p>
          <w:p>
            <w:pPr>
              <w:spacing w:after="80"/>
            </w:pPr>
            <w:r>
              <w:rPr>
                <w:rFonts w:ascii="Arial" w:cs="Arial" w:eastAsia="Arial" w:hAnsi="Arial"/>
                <w:sz w:val="20"/>
                <w:szCs w:val="20"/>
              </w:rPr>
              <w:t xml:space="preserve">1. Define at least 3 tools: search_filings, get_filing_list, compare_sections. Implement each as a Python function with clear input/output specifications.</w:t>
            </w:r>
          </w:p>
          <w:p>
            <w:pPr>
              <w:spacing w:after="80"/>
            </w:pPr>
            <w:r>
              <w:rPr>
                <w:rFonts w:ascii="Arial" w:cs="Arial" w:eastAsia="Arial" w:hAnsi="Arial"/>
                <w:sz w:val="20"/>
                <w:szCs w:val="20"/>
              </w:rPr>
              <w:t xml:space="preserve">2. Define tool schemas using OpenAI function calling format (or LangChain tool decorator).</w:t>
            </w:r>
          </w:p>
          <w:p>
            <w:pPr>
              <w:spacing w:after="80"/>
            </w:pPr>
            <w:r>
              <w:rPr>
                <w:rFonts w:ascii="Arial" w:cs="Arial" w:eastAsia="Arial" w:hAnsi="Arial"/>
                <w:sz w:val="20"/>
                <w:szCs w:val="20"/>
              </w:rPr>
              <w:t xml:space="preserve">3. Build a ReAct agent that orchestrates multi-step queries.</w:t>
            </w:r>
          </w:p>
          <w:p>
            <w:pPr>
              <w:spacing w:after="80"/>
            </w:pPr>
            <w:r>
              <w:rPr>
                <w:rFonts w:ascii="Arial" w:cs="Arial" w:eastAsia="Arial" w:hAnsi="Arial"/>
                <w:sz w:val="20"/>
                <w:szCs w:val="20"/>
              </w:rPr>
              <w:t xml:space="preserve">4. Test with 5 complex compliance questions that require multiple tool calls:</w:t>
            </w:r>
          </w:p>
          <w:p>
            <w:pPr>
              <w:spacing w:after="80"/>
            </w:pPr>
            <w:r>
              <w:rPr>
                <w:rFonts w:ascii="Arial" w:cs="Arial" w:eastAsia="Arial" w:hAnsi="Arial"/>
                <w:sz w:val="20"/>
                <w:szCs w:val="20"/>
              </w:rPr>
              <w:t xml:space="preserve">   a. 'What new risks did RBC add in 2024 that were not in 2023?'</w:t>
            </w:r>
          </w:p>
          <w:p>
            <w:pPr>
              <w:spacing w:after="80"/>
            </w:pPr>
            <w:r>
              <w:rPr>
                <w:rFonts w:ascii="Arial" w:cs="Arial" w:eastAsia="Arial" w:hAnsi="Arial"/>
                <w:sz w:val="20"/>
                <w:szCs w:val="20"/>
              </w:rPr>
              <w:t xml:space="preserve">   b. 'How does TD's credit risk language compare to BMO's in their most recent annual reports?'</w:t>
            </w:r>
          </w:p>
          <w:p>
            <w:pPr>
              <w:spacing w:after="80"/>
            </w:pPr>
            <w:r>
              <w:rPr>
                <w:rFonts w:ascii="Arial" w:cs="Arial" w:eastAsia="Arial" w:hAnsi="Arial"/>
                <w:sz w:val="20"/>
                <w:szCs w:val="20"/>
              </w:rPr>
              <w:t xml:space="preserve">   c. 'Which of the Big Five banks has the most detailed climate risk disclosure?'</w:t>
            </w:r>
          </w:p>
          <w:p>
            <w:pPr>
              <w:spacing w:after="80"/>
            </w:pPr>
            <w:r>
              <w:rPr>
                <w:rFonts w:ascii="Arial" w:cs="Arial" w:eastAsia="Arial" w:hAnsi="Arial"/>
                <w:sz w:val="20"/>
                <w:szCs w:val="20"/>
              </w:rPr>
              <w:t xml:space="preserve">   d. 'How did Scotiabank's provision for credit losses change over the past 4 quarters?'</w:t>
            </w:r>
          </w:p>
          <w:p>
            <w:pPr>
              <w:spacing w:after="80"/>
            </w:pPr>
            <w:r>
              <w:rPr>
                <w:rFonts w:ascii="Arial" w:cs="Arial" w:eastAsia="Arial" w:hAnsi="Arial"/>
                <w:sz w:val="20"/>
                <w:szCs w:val="20"/>
              </w:rPr>
              <w:t xml:space="preserve">   e. 'Which banks mention AI risk or OSFI E-23 in their most recent filings?'</w:t>
            </w:r>
          </w:p>
          <w:p>
            <w:pPr>
              <w:spacing w:after="80"/>
            </w:pPr>
            <w:r>
              <w:rPr>
                <w:rFonts w:ascii="Arial" w:cs="Arial" w:eastAsia="Arial" w:hAnsi="Arial"/>
                <w:sz w:val="20"/>
                <w:szCs w:val="20"/>
              </w:rPr>
              <w:t xml:space="preserve">5. For each query, record: number of iterations, tools called, total tokens used, estimated cost, and final answer quality.</w:t>
            </w:r>
          </w:p>
          <w:p>
            <w:pPr>
              <w:spacing w:after="80"/>
            </w:pPr>
            <w:r>
              <w:rPr>
                <w:rFonts w:ascii="Arial" w:cs="Arial" w:eastAsia="Arial" w:hAnsi="Arial"/>
                <w:sz w:val="20"/>
                <w:szCs w:val="20"/>
              </w:rPr>
              <w:t xml:space="preserve">6. Implement execution logging: save the full agent trace (thought, action, observation) for each query.</w:t>
            </w:r>
          </w:p>
          <w:p>
            <w:pPr>
              <w:spacing w:after="80"/>
            </w:pPr>
            <w:r>
              <w:rPr>
                <w:rFonts w:ascii="Arial" w:cs="Arial" w:eastAsia="Arial" w:hAnsi="Arial"/>
                <w:sz w:val="20"/>
                <w:szCs w:val="20"/>
              </w:rPr>
              <w:t xml:space="preserve">Deliverable: 05_agentic_workflow.ipynb with agent implementation, execution traces, and cost analysis.</w:t>
            </w:r>
          </w:p>
        </w:tc>
      </w:tr>
    </w:tbl>
    <w:p>
      <w:r>
        <w:br w:type="page"/>
      </w:r>
    </w:p>
    <w:p>
      <w:pPr>
        <w:pStyle w:val="Heading1"/>
        <w:spacing w:after="200" w:before="360"/>
      </w:pPr>
      <w:r>
        <w:rPr>
          <w:rFonts w:ascii="Arial" w:cs="Arial" w:eastAsia="Arial" w:hAnsi="Arial"/>
          <w:b/>
          <w:bCs/>
          <w:color w:val="1F3864"/>
          <w:sz w:val="32"/>
          <w:szCs w:val="32"/>
        </w:rPr>
        <w:t xml:space="preserve">Topic 6: Evaluating GenAI Systems</w:t>
      </w:r>
    </w:p>
    <w:p>
      <w:pPr>
        <w:spacing w:after="160"/>
      </w:pPr>
      <w:r>
        <w:rPr>
          <w:rFonts w:ascii="Arial" w:cs="Arial" w:eastAsia="Arial" w:hAnsi="Arial"/>
          <w:sz w:val="22"/>
          <w:szCs w:val="22"/>
        </w:rPr>
        <w:t xml:space="preserve">Evaluation is the most critical and most often underestimated component of a GenAI system. Unlike traditional ML where you can compute AUROC or F1 on a labeled test set, evaluating GenAI requires assessing the quality of free-form text responses across multiple dimensions: faithfulness (is the answer grounded in the source?), relevance (does it address the question?), completeness (does it cover all key points?), and safety (does it avoid hallucination?). This topic covers both automated evaluation with LLM-as-judge and business-impact metrics for justifying deployment.</w:t>
      </w:r>
    </w:p>
    <w:p>
      <w:pPr>
        <w:spacing w:after="120"/>
      </w:pPr>
      <w:r>
        <w:rPr>
          <w:rFonts w:ascii="Arial" w:cs="Arial" w:eastAsia="Arial" w:hAnsi="Arial"/>
          <w:b/>
          <w:bCs/>
          <w:color w:val="1F3864"/>
          <w:sz w:val="22"/>
          <w:szCs w:val="22"/>
        </w:rPr>
        <w:t xml:space="preserve">🎥 Recommended Video Resources</w:t>
      </w:r>
    </w:p>
    <w:p>
      <w:pPr>
        <w:spacing w:after="60"/>
      </w:pPr>
      <w:r>
        <w:rPr>
          <w:rFonts w:ascii="Arial" w:cs="Arial" w:eastAsia="Arial" w:hAnsi="Arial"/>
          <w:sz w:val="20"/>
          <w:szCs w:val="20"/>
        </w:rPr>
        <w:t xml:space="preserve">▶ </w:t>
      </w:r>
      <w:hyperlink w:history="1" r:id="rIdl5velpbljro5mtcole_5v">
        <w:r>
          <w:rPr>
            <w:rStyle w:val="Hyperlink"/>
            <w:rFonts w:ascii="Arial" w:cs="Arial" w:eastAsia="Arial" w:hAnsi="Arial"/>
            <w:sz w:val="20"/>
            <w:szCs w:val="20"/>
          </w:rPr>
          <w:t xml:space="preserve">DeepLearning.AI: Building and Evaluating Advanced RAG</w:t>
        </w:r>
      </w:hyperlink>
    </w:p>
    <w:p>
      <w:pPr>
        <w:spacing w:after="60"/>
      </w:pPr>
      <w:r>
        <w:rPr>
          <w:rFonts w:ascii="Arial" w:cs="Arial" w:eastAsia="Arial" w:hAnsi="Arial"/>
          <w:sz w:val="20"/>
          <w:szCs w:val="20"/>
        </w:rPr>
        <w:t xml:space="preserve">▶ </w:t>
      </w:r>
      <w:hyperlink w:history="1" r:id="rIdsm_jewydfyjknslxyzqlg">
        <w:r>
          <w:rPr>
            <w:rStyle w:val="Hyperlink"/>
            <w:rFonts w:ascii="Arial" w:cs="Arial" w:eastAsia="Arial" w:hAnsi="Arial"/>
            <w:sz w:val="20"/>
            <w:szCs w:val="20"/>
          </w:rPr>
          <w:t xml:space="preserve">YouTube: Evaluating LLM Applications (Weights &amp; Biases)</w:t>
        </w:r>
      </w:hyperlink>
    </w:p>
    <w:p>
      <w:pPr>
        <w:spacing w:after="60"/>
      </w:pPr>
      <w:r>
        <w:rPr>
          <w:rFonts w:ascii="Arial" w:cs="Arial" w:eastAsia="Arial" w:hAnsi="Arial"/>
          <w:sz w:val="20"/>
          <w:szCs w:val="20"/>
        </w:rPr>
        <w:t xml:space="preserve">▶ </w:t>
      </w:r>
      <w:hyperlink w:history="1" r:id="rIdkfrtdxprvqigbuxatpu6h">
        <w:r>
          <w:rPr>
            <w:rStyle w:val="Hyperlink"/>
            <w:rFonts w:ascii="Arial" w:cs="Arial" w:eastAsia="Arial" w:hAnsi="Arial"/>
            <w:sz w:val="20"/>
            <w:szCs w:val="20"/>
          </w:rPr>
          <w:t xml:space="preserve">YouTube: MLflow for LLMs (Databricks)</w:t>
        </w:r>
      </w:hyperlink>
    </w:p>
    <w:p>
      <w:pPr>
        <w:spacing w:after="60"/>
      </w:pPr>
      <w:r>
        <w:rPr>
          <w:rFonts w:ascii="Arial" w:cs="Arial" w:eastAsia="Arial" w:hAnsi="Arial"/>
          <w:sz w:val="20"/>
          <w:szCs w:val="20"/>
        </w:rPr>
        <w:t xml:space="preserve">▶ </w:t>
      </w:r>
      <w:hyperlink w:history="1" r:id="rId18khdkr_gxrfqnlhlxqut">
        <w:r>
          <w:rPr>
            <w:rStyle w:val="Hyperlink"/>
            <w:rFonts w:ascii="Arial" w:cs="Arial" w:eastAsia="Arial" w:hAnsi="Arial"/>
            <w:sz w:val="20"/>
            <w:szCs w:val="20"/>
          </w:rPr>
          <w:t xml:space="preserve">YouTube: RAGAS - RAG Assessment Framework</w:t>
        </w:r>
      </w:hyperlink>
    </w:p>
    <w:p>
      <w:pPr>
        <w:spacing w:after="120"/>
      </w:pPr>
      <w:r>
        <w:rPr>
          <w:rFonts w:ascii="Arial" w:cs="Arial" w:eastAsia="Arial" w:hAnsi="Arial"/>
          <w:b/>
          <w:bCs/>
          <w:color w:val="1F3864"/>
          <w:sz w:val="22"/>
          <w:szCs w:val="22"/>
        </w:rPr>
        <w:t xml:space="preserve">🌐 Recommended Websites &amp; Reading</w:t>
      </w:r>
    </w:p>
    <w:p>
      <w:pPr>
        <w:spacing w:after="60"/>
      </w:pPr>
      <w:r>
        <w:rPr>
          <w:rFonts w:ascii="Arial" w:cs="Arial" w:eastAsia="Arial" w:hAnsi="Arial"/>
          <w:sz w:val="20"/>
          <w:szCs w:val="20"/>
        </w:rPr>
        <w:t xml:space="preserve">🌐 </w:t>
      </w:r>
      <w:hyperlink w:history="1" r:id="rIdp338rybkz_tiq7jdseuqo">
        <w:r>
          <w:rPr>
            <w:rStyle w:val="Hyperlink"/>
            <w:rFonts w:ascii="Arial" w:cs="Arial" w:eastAsia="Arial" w:hAnsi="Arial"/>
            <w:sz w:val="20"/>
            <w:szCs w:val="20"/>
          </w:rPr>
          <w:t xml:space="preserve">RAGAS - RAG Assessment Framework (official documentation)</w:t>
        </w:r>
      </w:hyperlink>
    </w:p>
    <w:p>
      <w:pPr>
        <w:spacing w:after="60"/>
      </w:pPr>
      <w:r>
        <w:rPr>
          <w:rFonts w:ascii="Arial" w:cs="Arial" w:eastAsia="Arial" w:hAnsi="Arial"/>
          <w:sz w:val="20"/>
          <w:szCs w:val="20"/>
        </w:rPr>
        <w:t xml:space="preserve">🌐 </w:t>
      </w:r>
      <w:hyperlink w:history="1" r:id="rId9_wmr3w4mfodjapnu-qqk">
        <w:r>
          <w:rPr>
            <w:rStyle w:val="Hyperlink"/>
            <w:rFonts w:ascii="Arial" w:cs="Arial" w:eastAsia="Arial" w:hAnsi="Arial"/>
            <w:sz w:val="20"/>
            <w:szCs w:val="20"/>
          </w:rPr>
          <w:t xml:space="preserve">MLflow GenAI Documentation - Evaluation (official)</w:t>
        </w:r>
      </w:hyperlink>
    </w:p>
    <w:p>
      <w:pPr>
        <w:spacing w:after="60"/>
      </w:pPr>
      <w:r>
        <w:rPr>
          <w:rFonts w:ascii="Arial" w:cs="Arial" w:eastAsia="Arial" w:hAnsi="Arial"/>
          <w:sz w:val="20"/>
          <w:szCs w:val="20"/>
        </w:rPr>
        <w:t xml:space="preserve">🌐 </w:t>
      </w:r>
      <w:hyperlink w:history="1" r:id="rIdpoaoytcvmekdm0bjijqcq">
        <w:r>
          <w:rPr>
            <w:rStyle w:val="Hyperlink"/>
            <w:rFonts w:ascii="Arial" w:cs="Arial" w:eastAsia="Arial" w:hAnsi="Arial"/>
            <w:sz w:val="20"/>
            <w:szCs w:val="20"/>
          </w:rPr>
          <w:t xml:space="preserve">Databricks - Evaluating RAG Applications</w:t>
        </w:r>
      </w:hyperlink>
    </w:p>
    <w:p>
      <w:pPr>
        <w:spacing w:after="60"/>
      </w:pPr>
      <w:r>
        <w:rPr>
          <w:rFonts w:ascii="Arial" w:cs="Arial" w:eastAsia="Arial" w:hAnsi="Arial"/>
          <w:sz w:val="20"/>
          <w:szCs w:val="20"/>
        </w:rPr>
        <w:t xml:space="preserve">🌐 </w:t>
      </w:r>
      <w:hyperlink w:history="1" r:id="rIdwzofwg2htggeaz-2evks_">
        <w:r>
          <w:rPr>
            <w:rStyle w:val="Hyperlink"/>
            <w:rFonts w:ascii="Arial" w:cs="Arial" w:eastAsia="Arial" w:hAnsi="Arial"/>
            <w:sz w:val="20"/>
            <w:szCs w:val="20"/>
          </w:rPr>
          <w:t xml:space="preserve">DeepEval - LLM Evaluation Framework</w:t>
        </w:r>
      </w:hyperlink>
    </w:p>
    <w:p>
      <w:pPr>
        <w:spacing w:after="60"/>
      </w:pPr>
      <w:r>
        <w:rPr>
          <w:rFonts w:ascii="Arial" w:cs="Arial" w:eastAsia="Arial" w:hAnsi="Arial"/>
          <w:sz w:val="20"/>
          <w:szCs w:val="20"/>
        </w:rPr>
        <w:t xml:space="preserve">🌐 </w:t>
      </w:r>
      <w:hyperlink w:history="1" r:id="rIdddzrryhdmxb31nbwnj8uy">
        <w:r>
          <w:rPr>
            <w:rStyle w:val="Hyperlink"/>
            <w:rFonts w:ascii="Arial" w:cs="Arial" w:eastAsia="Arial" w:hAnsi="Arial"/>
            <w:sz w:val="20"/>
            <w:szCs w:val="20"/>
          </w:rPr>
          <w:t xml:space="preserve">Hamel Husain - Your AI Product Needs Evals (practical guide)</w:t>
        </w:r>
      </w:hyperlink>
    </w:p>
    <w:p>
      <w:pPr>
        <w:pStyle w:val="Heading2"/>
        <w:spacing w:after="160" w:before="280"/>
      </w:pPr>
      <w:r>
        <w:rPr>
          <w:rFonts w:ascii="Arial" w:cs="Arial" w:eastAsia="Arial" w:hAnsi="Arial"/>
          <w:b/>
          <w:bCs/>
          <w:color w:val="1F3864"/>
          <w:sz w:val="28"/>
          <w:szCs w:val="28"/>
        </w:rPr>
        <w:t xml:space="preserve">6.1 RAG Evaluation Metrics</w:t>
      </w:r>
    </w:p>
    <w:p>
      <w:pPr>
        <w:spacing w:after="160"/>
      </w:pPr>
      <w:r>
        <w:rPr>
          <w:rFonts w:ascii="Arial" w:cs="Arial" w:eastAsia="Arial" w:hAnsi="Arial"/>
          <w:sz w:val="22"/>
          <w:szCs w:val="22"/>
        </w:rPr>
        <w:t xml:space="preserve">The three core metrics for RAG evaluation are faithfulness, relevance, and completeness. Each measures a different dimension of quality, and all three are needed to fully assess a RAG system.</w:t>
      </w:r>
    </w:p>
    <w:p>
      <w:pPr>
        <w:spacing w:after="160"/>
      </w:pPr>
      <w:r>
        <w:rPr>
          <w:rFonts w:ascii="Arial" w:cs="Arial" w:eastAsia="Arial" w:hAnsi="Arial"/>
          <w:b/>
          <w:bCs/>
          <w:sz w:val="22"/>
          <w:szCs w:val="22"/>
        </w:rPr>
        <w:t xml:space="preserve">Faithfulness (Groundedness): </w:t>
      </w:r>
      <w:r>
        <w:rPr>
          <w:rFonts w:ascii="Arial" w:cs="Arial" w:eastAsia="Arial" w:hAnsi="Arial"/>
          <w:sz w:val="22"/>
          <w:szCs w:val="22"/>
        </w:rPr>
        <w:t xml:space="preserve">Measures whether every claim in the answer is supported by the retrieved context. This is the most important metric for financial compliance because unfaithful answers contain hallucinated information. A faithfulness score of 1 means every statement in the answer can be traced to a specific passage in the retrieved chunks. A score of 0 means the answer is entirely fabricated. For compliance, target a faithfulness score of 4.0+ out of 5.0 on your evaluation rubric.</w:t>
      </w:r>
    </w:p>
    <w:p>
      <w:pPr>
        <w:spacing w:after="160"/>
      </w:pPr>
      <w:r>
        <w:rPr>
          <w:rFonts w:ascii="Arial" w:cs="Arial" w:eastAsia="Arial" w:hAnsi="Arial"/>
          <w:b/>
          <w:bCs/>
          <w:sz w:val="22"/>
          <w:szCs w:val="22"/>
        </w:rPr>
        <w:t xml:space="preserve">Relevance (Answer Relevance): </w:t>
      </w:r>
      <w:r>
        <w:rPr>
          <w:rFonts w:ascii="Arial" w:cs="Arial" w:eastAsia="Arial" w:hAnsi="Arial"/>
          <w:sz w:val="22"/>
          <w:szCs w:val="22"/>
        </w:rPr>
        <w:t xml:space="preserve">Measures whether the answer addresses the question. A highly relevant answer directly answers what was asked. An irrelevant answer discusses tangentially related topics or provides information the user did not request. In financial compliance, irrelevance often manifests as the system discussing the wrong risk category (answering about market risk when asked about credit risk) or the wrong bank.</w:t>
      </w:r>
    </w:p>
    <w:p>
      <w:pPr>
        <w:spacing w:after="160"/>
      </w:pPr>
      <w:r>
        <w:rPr>
          <w:rFonts w:ascii="Arial" w:cs="Arial" w:eastAsia="Arial" w:hAnsi="Arial"/>
          <w:b/>
          <w:bCs/>
          <w:sz w:val="22"/>
          <w:szCs w:val="22"/>
        </w:rPr>
        <w:t xml:space="preserve">Completeness: </w:t>
      </w:r>
      <w:r>
        <w:rPr>
          <w:rFonts w:ascii="Arial" w:cs="Arial" w:eastAsia="Arial" w:hAnsi="Arial"/>
          <w:sz w:val="22"/>
          <w:szCs w:val="22"/>
        </w:rPr>
        <w:t xml:space="preserve">Measures whether the answer covers all the key information available in the retrieved context. A complete answer includes all relevant facts, figures, and context. An incomplete answer correctly states some facts but omits important details. In compliance, incompleteness is dangerous because the analyst might make decisions based on partial information.</w:t>
      </w:r>
    </w:p>
    <w:p>
      <w:pPr>
        <w:spacing w:after="160"/>
      </w:pPr>
      <w:r>
        <w:rPr>
          <w:rFonts w:ascii="Arial" w:cs="Arial" w:eastAsia="Arial" w:hAnsi="Arial"/>
          <w:b/>
          <w:bCs/>
          <w:sz w:val="22"/>
          <w:szCs w:val="22"/>
        </w:rPr>
        <w:t xml:space="preserve">Context Quality Metrics</w:t>
      </w:r>
    </w:p>
    <w:p>
      <w:pPr>
        <w:spacing w:after="160"/>
      </w:pPr>
      <w:r>
        <w:rPr>
          <w:rFonts w:ascii="Arial" w:cs="Arial" w:eastAsia="Arial" w:hAnsi="Arial"/>
          <w:sz w:val="22"/>
          <w:szCs w:val="22"/>
        </w:rPr>
        <w:t xml:space="preserve">Context quality metrics evaluate the retriever independently from the generator. Context precision measures what fraction of retrieved chunks are actually relevant to the question. Context recall measures what fraction of all relevant chunks in the database were retrieved. These metrics help you diagnose whether poor answers stem from retrieval failures (the right information was not found) or generation failures (the right information was found but the LLM misinterpreted or ignored it). If context precision is low, improve your embedding model or retrieval strategy. If context recall is low, consider increasing k or using multi-query retrieval. If both are high but answer quality is still poor, focus on prompt engineering.</w:t>
      </w:r>
    </w:p>
    <w:p>
      <w:pPr>
        <w:pStyle w:val="Heading2"/>
        <w:spacing w:after="160" w:before="280"/>
      </w:pPr>
      <w:r>
        <w:rPr>
          <w:rFonts w:ascii="Arial" w:cs="Arial" w:eastAsia="Arial" w:hAnsi="Arial"/>
          <w:b/>
          <w:bCs/>
          <w:color w:val="1F3864"/>
          <w:sz w:val="28"/>
          <w:szCs w:val="28"/>
        </w:rPr>
        <w:t xml:space="preserve">6.2 LLM-as-Judge: Automated Evaluation at Scale</w:t>
      </w:r>
    </w:p>
    <w:p>
      <w:pPr>
        <w:spacing w:after="160"/>
      </w:pPr>
      <w:r>
        <w:rPr>
          <w:rFonts w:ascii="Arial" w:cs="Arial" w:eastAsia="Arial" w:hAnsi="Arial"/>
          <w:sz w:val="22"/>
          <w:szCs w:val="22"/>
        </w:rPr>
        <w:t xml:space="preserve">LLM-as-Judge uses a separate LLM call to evaluate the quality of the RAG system's outputs. You provide the judge with the question, the retrieved context, the system's answer, and a scoring rubric, and the judge assigns a score with reasoning. This approach scales evaluation to hundreds or thousands of test cases without manual human review.</w:t>
      </w:r>
    </w:p>
    <w:p>
      <w:pPr>
        <w:spacing w:after="160"/>
      </w:pPr>
      <w:r>
        <w:rPr>
          <w:rFonts w:ascii="Arial" w:cs="Arial" w:eastAsia="Arial" w:hAnsi="Arial"/>
          <w:sz w:val="22"/>
          <w:szCs w:val="22"/>
        </w:rPr>
        <w:t xml:space="preserve">The key to reliable LLM-as-Judge evaluation is the rubric. Each evaluation dimension needs a detailed rubric with clear definitions for each score level. For faithfulness, a 5-point rubric might define: 5 = every claim is directly supported by the context with no hallucinated information; 4 = almost all claims supported, with minor reasonable inferences; 3 = most claims supported but some unsupported claims present; 2 = significant unsupported claims or mild hallucinations; 1 = major hallucinations with fabricated information not in the context.</w:t>
      </w:r>
    </w:p>
    <w:p>
      <w:pPr>
        <w:spacing w:after="160"/>
      </w:pPr>
      <w:r>
        <w:rPr>
          <w:rFonts w:ascii="Arial" w:cs="Arial" w:eastAsia="Arial" w:hAnsi="Arial"/>
          <w:sz w:val="22"/>
          <w:szCs w:val="22"/>
        </w:rPr>
        <w:t xml:space="preserve">A practical workflow for LLM-as-Judge evaluation: (1) Create a test set of 30-50 questions with known answers. (2) Run the RAG system on all questions. (3) For each question, call the judge LLM three times (faithfulness, relevance, completeness) with the appropriate rubric. (4) Aggregate scores and identify patterns. (5) Deep-dive into low-scoring answers to diagnose failure modes. (6) Repeat after making improvements.</w:t>
      </w:r>
    </w:p>
    <w:p>
      <w:pPr>
        <w:spacing w:after="160"/>
      </w:pPr>
      <w:r>
        <w:rPr>
          <w:rFonts w:ascii="Arial" w:cs="Arial" w:eastAsia="Arial" w:hAnsi="Arial"/>
          <w:sz w:val="22"/>
          <w:szCs w:val="22"/>
        </w:rPr>
        <w:t xml:space="preserve">Use a stronger model as the judge than the model being evaluated. If your RAG system uses gpt-4o-mini for generation, use gpt-4o as the judge. The judge should also use temperature=0 for consistency. See demos/09_llm_judge.py for a complete evaluation pipeline with rubrics for all three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LLM-as-Judge Evaluation</w:t>
            </w:r>
          </w:p>
          <w:p>
            <w:pPr>
              <w:spacing w:after="80"/>
            </w:pPr>
            <w:r>
              <w:rPr>
                <w:rFonts w:ascii="Arial" w:cs="Arial" w:eastAsia="Arial" w:hAnsi="Arial"/>
                <w:sz w:val="20"/>
                <w:szCs w:val="20"/>
              </w:rPr>
              <w:t xml:space="preserve">Use a stronger model as the judge than the model being evaluated. GPT-4o judging GPT-4o-mini outputs.</w:t>
            </w:r>
          </w:p>
          <w:p>
            <w:pPr>
              <w:spacing w:after="80"/>
            </w:pPr>
            <w:r>
              <w:rPr>
                <w:rFonts w:ascii="Arial" w:cs="Arial" w:eastAsia="Arial" w:hAnsi="Arial"/>
                <w:sz w:val="20"/>
                <w:szCs w:val="20"/>
              </w:rPr>
              <w:t xml:space="preserve">Include clear examples in the rubric for each score level. The judge should understand what a 3 vs 4 looks like.</w:t>
            </w:r>
          </w:p>
          <w:p>
            <w:pPr>
              <w:spacing w:after="80"/>
            </w:pPr>
            <w:r>
              <w:rPr>
                <w:rFonts w:ascii="Arial" w:cs="Arial" w:eastAsia="Arial" w:hAnsi="Arial"/>
                <w:sz w:val="20"/>
                <w:szCs w:val="20"/>
              </w:rPr>
              <w:t xml:space="preserve">Run the judge multiple times on the same samples with temperature=0. If scores are inconsistent, refine your rubric.</w:t>
            </w:r>
          </w:p>
          <w:p>
            <w:pPr>
              <w:spacing w:after="80"/>
            </w:pPr>
            <w:r>
              <w:rPr>
                <w:rFonts w:ascii="Arial" w:cs="Arial" w:eastAsia="Arial" w:hAnsi="Arial"/>
                <w:sz w:val="20"/>
                <w:szCs w:val="20"/>
              </w:rPr>
              <w:t xml:space="preserve">Always include deliberate hallucination test cases: provide context that contradicts the question, or ask about information not in the context.</w:t>
            </w:r>
          </w:p>
          <w:p>
            <w:pPr>
              <w:spacing w:after="80"/>
            </w:pPr>
            <w:r>
              <w:rPr>
                <w:rFonts w:ascii="Arial" w:cs="Arial" w:eastAsia="Arial" w:hAnsi="Arial"/>
                <w:sz w:val="20"/>
                <w:szCs w:val="20"/>
              </w:rPr>
              <w:t xml:space="preserve">Compute inter-rater agreement between the LLM judge and human evaluators on a subset (20-30 samples). If agreement is below 80%, recalibrate.</w:t>
            </w:r>
          </w:p>
          <w:p>
            <w:pPr>
              <w:spacing w:after="80"/>
            </w:pPr>
            <w:r>
              <w:rPr>
                <w:rFonts w:ascii="Arial" w:cs="Arial" w:eastAsia="Arial" w:hAnsi="Arial"/>
                <w:sz w:val="20"/>
                <w:szCs w:val="20"/>
              </w:rPr>
              <w:t xml:space="preserve">Log judge reasoning, not just scores. The reasoning explains WHY a score was assigned, which is essential for improving the system.</w:t>
            </w:r>
          </w:p>
        </w:tc>
      </w:tr>
    </w:tbl>
    <w:p>
      <w:pPr>
        <w:pStyle w:val="Heading2"/>
        <w:spacing w:after="160" w:before="280"/>
      </w:pPr>
      <w:r>
        <w:rPr>
          <w:rFonts w:ascii="Arial" w:cs="Arial" w:eastAsia="Arial" w:hAnsi="Arial"/>
          <w:b/>
          <w:bCs/>
          <w:color w:val="1F3864"/>
          <w:sz w:val="28"/>
          <w:szCs w:val="28"/>
        </w:rPr>
        <w:t xml:space="preserve">6.3 Cost Analysis and Business Impact</w:t>
      </w:r>
    </w:p>
    <w:p>
      <w:pPr>
        <w:spacing w:after="160"/>
      </w:pPr>
      <w:r>
        <w:rPr>
          <w:rFonts w:ascii="Arial" w:cs="Arial" w:eastAsia="Arial" w:hAnsi="Arial"/>
          <w:sz w:val="22"/>
          <w:szCs w:val="22"/>
        </w:rPr>
        <w:t xml:space="preserve">Every GenAI system has a per-query cost that must be justified by business value. The cost includes: embedding the query ($0.00002 per query with text-embedding-3-small), the LLM call for generation ($0.001-0.10 per query depending on model and context length), and optionally the LLM call for evaluation ($0.001-0.01 per query). For an agentic workflow with multiple tool calls, a single complex query may cost $0.10-0.50.</w:t>
      </w:r>
    </w:p>
    <w:p>
      <w:pPr>
        <w:spacing w:after="160"/>
      </w:pPr>
      <w:r>
        <w:rPr>
          <w:rFonts w:ascii="Arial" w:cs="Arial" w:eastAsia="Arial" w:hAnsi="Arial"/>
          <w:sz w:val="22"/>
          <w:szCs w:val="22"/>
        </w:rPr>
        <w:t xml:space="preserve">The business case for the compliance RAG system: 12 analysts at $150K average salary = $1.8M/year. If the system reduces review time by 50%, the labor savings are $900K/year. If the system processes 1,000 queries/day at $0.01/query, the annual API cost is approximately $3,600. Even with infrastructure and development costs factored in, the return on investment is substantial. Your executive summary must include this ROI calculation.</w:t>
      </w:r>
    </w:p>
    <w:p>
      <w:pPr>
        <w:spacing w:after="160"/>
      </w:pPr>
      <w:r>
        <w:rPr>
          <w:rFonts w:ascii="Arial" w:cs="Arial" w:eastAsia="Arial" w:hAnsi="Arial"/>
          <w:sz w:val="22"/>
          <w:szCs w:val="22"/>
        </w:rPr>
        <w:t xml:space="preserve">Cost optimization strategies: use GPT-4o-mini instead of GPT-4o for routine queries (5-10x cheaper); cache frequent queries; batch similar requests; use shorter prompts (fewer retrieved chunks for simple questions); implement tiered processing (simple factual lookups use a cheap, fast pipeline; complex analytical queries use the full agent pipeline).</w:t>
      </w:r>
    </w:p>
    <w:p>
      <w:pPr>
        <w:pStyle w:val="Heading2"/>
        <w:spacing w:after="160" w:before="280"/>
      </w:pPr>
      <w:r>
        <w:rPr>
          <w:rFonts w:ascii="Arial" w:cs="Arial" w:eastAsia="Arial" w:hAnsi="Arial"/>
          <w:b/>
          <w:bCs/>
          <w:color w:val="1F3864"/>
          <w:sz w:val="28"/>
          <w:szCs w:val="28"/>
        </w:rPr>
        <w:t xml:space="preserve">6.4 MLflow for GenAI Experiment Tracking</w:t>
      </w:r>
    </w:p>
    <w:p>
      <w:pPr>
        <w:spacing w:after="160"/>
      </w:pPr>
      <w:r>
        <w:rPr>
          <w:rFonts w:ascii="Arial" w:cs="Arial" w:eastAsia="Arial" w:hAnsi="Arial"/>
          <w:sz w:val="22"/>
          <w:szCs w:val="22"/>
        </w:rPr>
        <w:t xml:space="preserve">MLflow provides experiment tracking for GenAI systems, allowing you to log and compare different RAG configurations systematically. For each experiment, log the parameters (embedding model, chunk size, retrieval strategy, prompt version, LLM model, temperature), metrics (faithfulness, relevance, completeness, cost, latency), and artifacts (system prompts, evaluation datasets, configuration files, sample outputs).</w:t>
      </w:r>
    </w:p>
    <w:p>
      <w:pPr>
        <w:spacing w:after="160"/>
      </w:pPr>
      <w:r>
        <w:rPr>
          <w:rFonts w:ascii="Arial" w:cs="Arial" w:eastAsia="Arial" w:hAnsi="Arial"/>
          <w:sz w:val="22"/>
          <w:szCs w:val="22"/>
        </w:rPr>
        <w:t xml:space="preserve">The MLflow Model Registry allows you to version your best RAG configuration as a named model, track its performance over time, and set up alerts when evaluation metrics degrade. This is particularly important for compliance applications where model governance requires a documented, versioned, and monitored model inventory - a requirement that OSFI Guideline E-23 will formalize.</w:t>
      </w:r>
    </w:p>
    <w:p>
      <w:pPr>
        <w:spacing w:after="160"/>
      </w:pPr>
      <w:r>
        <w:rPr>
          <w:rFonts w:ascii="Arial" w:cs="Arial" w:eastAsia="Arial" w:hAnsi="Arial"/>
          <w:sz w:val="22"/>
          <w:szCs w:val="22"/>
        </w:rPr>
        <w:t xml:space="preserve">See demos/10_mlflow_genai.py for a complete MLflow tracking setup for comparing RAG configurations, including parameter logging, metric tracking, artifact storage, and cost-quality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2CC" w:val="clear"/>
            <w:tcMar>
              <w:top w:type="dxa" w:w="160"/>
              <w:left w:type="dxa" w:w="200"/>
              <w:bottom w:type="dxa" w:w="160"/>
              <w:right w:type="dxa" w:w="200"/>
            </w:tcMar>
          </w:tcPr>
          <w:p>
            <w:pPr>
              <w:spacing w:after="120"/>
            </w:pPr>
            <w:r>
              <w:rPr>
                <w:rFonts w:ascii="Arial" w:cs="Arial" w:eastAsia="Arial" w:hAnsi="Arial"/>
                <w:b/>
                <w:bCs/>
                <w:sz w:val="22"/>
                <w:szCs w:val="22"/>
              </w:rPr>
              <w:t xml:space="preserve">💡 Best Practices: GenAI Evaluation for Production</w:t>
            </w:r>
          </w:p>
          <w:p>
            <w:pPr>
              <w:spacing w:after="80"/>
            </w:pPr>
            <w:r>
              <w:rPr>
                <w:rFonts w:ascii="Arial" w:cs="Arial" w:eastAsia="Arial" w:hAnsi="Arial"/>
                <w:sz w:val="20"/>
                <w:szCs w:val="20"/>
              </w:rPr>
              <w:t xml:space="preserve">Evaluate continuously, not just at development time. Set up a daily evaluation job on a fixed test set and alert if faithfulness drops below threshold.</w:t>
            </w:r>
          </w:p>
          <w:p>
            <w:pPr>
              <w:spacing w:after="80"/>
            </w:pPr>
            <w:r>
              <w:rPr>
                <w:rFonts w:ascii="Arial" w:cs="Arial" w:eastAsia="Arial" w:hAnsi="Arial"/>
                <w:sz w:val="20"/>
                <w:szCs w:val="20"/>
              </w:rPr>
              <w:t xml:space="preserve">Track cost per query and cost per quality point. The best system is not the most accurate - it is the one with the best accuracy-per-dollar.</w:t>
            </w:r>
          </w:p>
          <w:p>
            <w:pPr>
              <w:spacing w:after="80"/>
            </w:pPr>
            <w:r>
              <w:rPr>
                <w:rFonts w:ascii="Arial" w:cs="Arial" w:eastAsia="Arial" w:hAnsi="Arial"/>
                <w:sz w:val="20"/>
                <w:szCs w:val="20"/>
              </w:rPr>
              <w:t xml:space="preserve">Version everything: prompts, evaluation rubrics, embedding models, test datasets. Without versioning, you cannot diagnose regressions.</w:t>
            </w:r>
          </w:p>
          <w:p>
            <w:pPr>
              <w:spacing w:after="80"/>
            </w:pPr>
            <w:r>
              <w:rPr>
                <w:rFonts w:ascii="Arial" w:cs="Arial" w:eastAsia="Arial" w:hAnsi="Arial"/>
                <w:sz w:val="20"/>
                <w:szCs w:val="20"/>
              </w:rPr>
              <w:t xml:space="preserve">Include adversarial test cases: questions designed to trigger hallucination, outdated information, questions spanning multiple filings.</w:t>
            </w:r>
          </w:p>
          <w:p>
            <w:pPr>
              <w:spacing w:after="80"/>
            </w:pPr>
            <w:r>
              <w:rPr>
                <w:rFonts w:ascii="Arial" w:cs="Arial" w:eastAsia="Arial" w:hAnsi="Arial"/>
                <w:sz w:val="20"/>
                <w:szCs w:val="20"/>
              </w:rPr>
              <w:t xml:space="preserve">For OSFI E-23 compliance, maintain a model inventory that includes your GenAI system. Document evaluation methodology, performance metrics, limitations, and monitoring plan.</w:t>
            </w:r>
          </w:p>
          <w:p>
            <w:pPr>
              <w:spacing w:after="80"/>
            </w:pPr>
            <w:r>
              <w:rPr>
                <w:rFonts w:ascii="Arial" w:cs="Arial" w:eastAsia="Arial" w:hAnsi="Arial"/>
                <w:sz w:val="20"/>
                <w:szCs w:val="20"/>
              </w:rPr>
              <w:t xml:space="preserve">Monitor for concept drift: as new filings are published, check that the system handles new terminology, new risk categories, and new regulatory references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60"/>
              <w:left w:type="dxa" w:w="200"/>
              <w:bottom w:type="dxa" w:w="160"/>
              <w:right w:type="dxa" w:w="200"/>
            </w:tcMar>
          </w:tcPr>
          <w:p>
            <w:pPr>
              <w:spacing w:after="120"/>
            </w:pPr>
            <w:r>
              <w:rPr>
                <w:rFonts w:ascii="Arial" w:cs="Arial" w:eastAsia="Arial" w:hAnsi="Arial"/>
                <w:b/>
                <w:bCs/>
                <w:sz w:val="22"/>
                <w:szCs w:val="22"/>
              </w:rPr>
              <w:t xml:space="preserve">🏗️ Capstone Step 6: Comprehensive Evaluation &amp; Final Deliverables</w:t>
            </w:r>
          </w:p>
          <w:p>
            <w:pPr>
              <w:spacing w:after="80"/>
            </w:pPr>
            <w:r>
              <w:rPr>
                <w:rFonts w:ascii="Arial" w:cs="Arial" w:eastAsia="Arial" w:hAnsi="Arial"/>
                <w:sz w:val="20"/>
                <w:szCs w:val="20"/>
              </w:rPr>
              <w:t xml:space="preserve">Objective: Evaluate the complete RAG system across all quality dimensions, quantify business impact, and deliver the final project with documentation.</w:t>
            </w:r>
          </w:p>
          <w:p>
            <w:pPr>
              <w:spacing w:after="80"/>
            </w:pPr>
            <w:r>
              <w:rPr>
                <w:rFonts w:ascii="Arial" w:cs="Arial" w:eastAsia="Arial" w:hAnsi="Arial"/>
                <w:sz w:val="20"/>
                <w:szCs w:val="20"/>
              </w:rPr>
              <w:t xml:space="preserve">What to do:</w:t>
            </w:r>
          </w:p>
          <w:p>
            <w:pPr>
              <w:spacing w:after="80"/>
            </w:pPr>
            <w:r>
              <w:rPr>
                <w:rFonts w:ascii="Arial" w:cs="Arial" w:eastAsia="Arial" w:hAnsi="Arial"/>
                <w:sz w:val="20"/>
                <w:szCs w:val="20"/>
              </w:rPr>
              <w:t xml:space="preserve">1. Create a test set of 30 questions spanning all banks, risk categories, and question types (factual, comparative, trend, edge cases).</w:t>
            </w:r>
          </w:p>
          <w:p>
            <w:pPr>
              <w:spacing w:after="80"/>
            </w:pPr>
            <w:r>
              <w:rPr>
                <w:rFonts w:ascii="Arial" w:cs="Arial" w:eastAsia="Arial" w:hAnsi="Arial"/>
                <w:sz w:val="20"/>
                <w:szCs w:val="20"/>
              </w:rPr>
              <w:t xml:space="preserve">2. Run LLM-as-judge evaluation on all 30 questions. Score faithfulness, relevance, and completeness (1-5 scale each).</w:t>
            </w:r>
          </w:p>
          <w:p>
            <w:pPr>
              <w:spacing w:after="80"/>
            </w:pPr>
            <w:r>
              <w:rPr>
                <w:rFonts w:ascii="Arial" w:cs="Arial" w:eastAsia="Arial" w:hAnsi="Arial"/>
                <w:sz w:val="20"/>
                <w:szCs w:val="20"/>
              </w:rPr>
              <w:t xml:space="preserve">3. Identify and analyze all hallucination cases (faithfulness &lt;= 2). Document why the system hallucinated and how to fix it.</w:t>
            </w:r>
          </w:p>
          <w:p>
            <w:pPr>
              <w:spacing w:after="80"/>
            </w:pPr>
            <w:r>
              <w:rPr>
                <w:rFonts w:ascii="Arial" w:cs="Arial" w:eastAsia="Arial" w:hAnsi="Arial"/>
                <w:sz w:val="20"/>
                <w:szCs w:val="20"/>
              </w:rPr>
              <w:t xml:space="preserve">4. Compute the cost per query for your system: embedding cost + retrieval cost + generation cost. Project annual cost at 1,000 queries/day.</w:t>
            </w:r>
          </w:p>
          <w:p>
            <w:pPr>
              <w:spacing w:after="80"/>
            </w:pPr>
            <w:r>
              <w:rPr>
                <w:rFonts w:ascii="Arial" w:cs="Arial" w:eastAsia="Arial" w:hAnsi="Arial"/>
                <w:sz w:val="20"/>
                <w:szCs w:val="20"/>
              </w:rPr>
              <w:t xml:space="preserve">5. Compare at least 3 RAG configurations using MLflow: (a) basic top-k, (b) MMR with structured prompt, (c) agentic workflow. Report quality and cost for each.</w:t>
            </w:r>
          </w:p>
          <w:p>
            <w:pPr>
              <w:spacing w:after="80"/>
            </w:pPr>
            <w:r>
              <w:rPr>
                <w:rFonts w:ascii="Arial" w:cs="Arial" w:eastAsia="Arial" w:hAnsi="Arial"/>
                <w:sz w:val="20"/>
                <w:szCs w:val="20"/>
              </w:rPr>
              <w:t xml:space="preserve">6. Create a master comparison table with all configurations, their metrics, and cost.</w:t>
            </w:r>
          </w:p>
          <w:p>
            <w:pPr>
              <w:spacing w:after="80"/>
            </w:pPr>
            <w:r>
              <w:rPr>
                <w:rFonts w:ascii="Arial" w:cs="Arial" w:eastAsia="Arial" w:hAnsi="Arial"/>
                <w:sz w:val="20"/>
                <w:szCs w:val="20"/>
              </w:rPr>
              <w:t xml:space="preserve">7. Write reports/executive_summary.md: 1-page non-technical summary with key metrics and deploy/iterate/abandon recommendation.</w:t>
            </w:r>
          </w:p>
          <w:p>
            <w:pPr>
              <w:spacing w:after="80"/>
            </w:pPr>
            <w:r>
              <w:rPr>
                <w:rFonts w:ascii="Arial" w:cs="Arial" w:eastAsia="Arial" w:hAnsi="Arial"/>
                <w:sz w:val="20"/>
                <w:szCs w:val="20"/>
              </w:rPr>
              <w:t xml:space="preserve">8. Write reports/system_documentation.md: full technical documentation of your RAG system.</w:t>
            </w:r>
          </w:p>
          <w:p>
            <w:pPr>
              <w:spacing w:after="80"/>
            </w:pPr>
            <w:r>
              <w:rPr>
                <w:rFonts w:ascii="Arial" w:cs="Arial" w:eastAsia="Arial" w:hAnsi="Arial"/>
                <w:sz w:val="20"/>
                <w:szCs w:val="20"/>
              </w:rPr>
              <w:t xml:space="preserve">9. Write reports/evaluation_report.md: comprehensive evaluation results with analysis.</w:t>
            </w:r>
          </w:p>
          <w:p>
            <w:pPr>
              <w:spacing w:after="80"/>
            </w:pPr>
            <w:r>
              <w:rPr>
                <w:rFonts w:ascii="Arial" w:cs="Arial" w:eastAsia="Arial" w:hAnsi="Arial"/>
                <w:sz w:val="20"/>
                <w:szCs w:val="20"/>
              </w:rPr>
              <w:t xml:space="preserve">10. Create README.md with end-to-end reproduction instructions.</w:t>
            </w:r>
          </w:p>
          <w:p>
            <w:pPr>
              <w:spacing w:after="80"/>
            </w:pPr>
            <w:r>
              <w:rPr>
                <w:rFonts w:ascii="Arial" w:cs="Arial" w:eastAsia="Arial" w:hAnsi="Arial"/>
                <w:sz w:val="20"/>
                <w:szCs w:val="20"/>
              </w:rPr>
              <w:t xml:space="preserve">Deliverable: Complete project folder with all notebooks, evaluation results, saved configurations, documentation, and README.</w:t>
            </w:r>
          </w:p>
        </w:tc>
      </w:tr>
    </w:tbl>
    <w:p>
      <w:r>
        <w:br w:type="page"/>
      </w:r>
    </w:p>
    <w:p>
      <w:pPr>
        <w:pStyle w:val="Heading1"/>
        <w:spacing w:after="200" w:before="360"/>
      </w:pPr>
      <w:r>
        <w:rPr>
          <w:rFonts w:ascii="Arial" w:cs="Arial" w:eastAsia="Arial" w:hAnsi="Arial"/>
          <w:b/>
          <w:bCs/>
          <w:color w:val="1F3864"/>
          <w:sz w:val="32"/>
          <w:szCs w:val="32"/>
        </w:rPr>
        <w:t xml:space="preserve">Final Submission Checklist</w:t>
      </w:r>
    </w:p>
    <w:p>
      <w:pPr>
        <w:spacing w:after="160"/>
      </w:pPr>
      <w:r>
        <w:rPr>
          <w:rFonts w:ascii="Arial" w:cs="Arial" w:eastAsia="Arial" w:hAnsi="Arial"/>
          <w:sz w:val="22"/>
          <w:szCs w:val="22"/>
        </w:rPr>
        <w:t xml:space="preserve">Before submitting your capstone project, verify that all of the following are complete:</w:t>
      </w:r>
    </w:p>
    <w:p>
      <w:pPr>
        <w:spacing w:after="160"/>
      </w:pPr>
      <w:r>
        <w:rPr>
          <w:rFonts w:ascii="Arial" w:cs="Arial" w:eastAsia="Arial" w:hAnsi="Arial"/>
          <w:b/>
          <w:bCs/>
          <w:sz w:val="22"/>
          <w:szCs w:val="22"/>
        </w:rPr>
        <w:t xml:space="preserve">Code Repository</w:t>
      </w:r>
    </w:p>
    <w:p>
      <w:pPr>
        <w:spacing w:after="160"/>
      </w:pPr>
      <w:r>
        <w:rPr>
          <w:rFonts w:ascii="Arial" w:cs="Arial" w:eastAsia="Arial" w:hAnsi="Arial"/>
          <w:sz w:val="22"/>
          <w:szCs w:val="22"/>
        </w:rPr>
        <w:t xml:space="preserve">01_data_ingestion.ipynb: Filing download and parsing for at least 5 banks. Chunking with metadata. Token analysis. Filing index CSV.</w:t>
      </w:r>
    </w:p>
    <w:p>
      <w:pPr>
        <w:spacing w:after="160"/>
      </w:pPr>
      <w:r>
        <w:rPr>
          <w:rFonts w:ascii="Arial" w:cs="Arial" w:eastAsia="Arial" w:hAnsi="Arial"/>
          <w:sz w:val="22"/>
          <w:szCs w:val="22"/>
        </w:rPr>
        <w:t xml:space="preserve">02_embedding_vectordb.ipynb: Embedding generation with model comparison. ChromaDB setup with metadata. Retrieval testing with precision metrics. MMR comparison.</w:t>
      </w:r>
    </w:p>
    <w:p>
      <w:pPr>
        <w:spacing w:after="160"/>
      </w:pPr>
      <w:r>
        <w:rPr>
          <w:rFonts w:ascii="Arial" w:cs="Arial" w:eastAsia="Arial" w:hAnsi="Arial"/>
          <w:sz w:val="22"/>
          <w:szCs w:val="22"/>
        </w:rPr>
        <w:t xml:space="preserve">03_rag_pipeline.ipynb: Complete RAG pipeline. 15 test questions across all banks and risk types. Accuracy metrics. Failure analysis.</w:t>
      </w:r>
    </w:p>
    <w:p>
      <w:pPr>
        <w:spacing w:after="160"/>
      </w:pPr>
      <w:r>
        <w:rPr>
          <w:rFonts w:ascii="Arial" w:cs="Arial" w:eastAsia="Arial" w:hAnsi="Arial"/>
          <w:sz w:val="22"/>
          <w:szCs w:val="22"/>
        </w:rPr>
        <w:t xml:space="preserve">04_prompt_optimization.ipynb: 3 prompt versions compared (basic, few-shot, CoT). Structured JSON output. Query rewriting. Edge case handling.</w:t>
      </w:r>
    </w:p>
    <w:p>
      <w:pPr>
        <w:spacing w:after="160"/>
      </w:pPr>
      <w:r>
        <w:rPr>
          <w:rFonts w:ascii="Arial" w:cs="Arial" w:eastAsia="Arial" w:hAnsi="Arial"/>
          <w:sz w:val="22"/>
          <w:szCs w:val="22"/>
        </w:rPr>
        <w:t xml:space="preserve">05_agentic_workflow.ipynb: Tool definitions with schemas. ReAct agent. 5 complex cross-filing queries. Execution traces with full audit trail. Cost analysis.</w:t>
      </w:r>
    </w:p>
    <w:p>
      <w:pPr>
        <w:spacing w:after="160"/>
      </w:pPr>
      <w:r>
        <w:rPr>
          <w:rFonts w:ascii="Arial" w:cs="Arial" w:eastAsia="Arial" w:hAnsi="Arial"/>
          <w:sz w:val="22"/>
          <w:szCs w:val="22"/>
        </w:rPr>
        <w:t xml:space="preserve">06_evaluation.ipynb: 30-question test set. LLM-as-judge scores for faithfulness, relevance, completeness. Hallucination analysis. Cost projection. Configuration comparison via MLflow.</w:t>
      </w:r>
    </w:p>
    <w:p>
      <w:pPr>
        <w:spacing w:after="160"/>
      </w:pPr>
      <w:r>
        <w:rPr>
          <w:rFonts w:ascii="Arial" w:cs="Arial" w:eastAsia="Arial" w:hAnsi="Arial"/>
          <w:sz w:val="22"/>
          <w:szCs w:val="22"/>
        </w:rPr>
        <w:t xml:space="preserve">README.md: End-to-end reproduction instructions including package installation and data download.</w:t>
      </w:r>
    </w:p>
    <w:p>
      <w:pPr>
        <w:spacing w:after="160"/>
      </w:pPr>
      <w:r>
        <w:rPr>
          <w:rFonts w:ascii="Arial" w:cs="Arial" w:eastAsia="Arial" w:hAnsi="Arial"/>
          <w:b/>
          <w:bCs/>
          <w:sz w:val="22"/>
          <w:szCs w:val="22"/>
        </w:rPr>
        <w:t xml:space="preserve">Written Reports (in reports/ folder)</w:t>
      </w:r>
    </w:p>
    <w:p>
      <w:pPr>
        <w:spacing w:after="160"/>
      </w:pPr>
      <w:r>
        <w:rPr>
          <w:rFonts w:ascii="Arial" w:cs="Arial" w:eastAsia="Arial" w:hAnsi="Arial"/>
          <w:sz w:val="22"/>
          <w:szCs w:val="22"/>
        </w:rPr>
        <w:t xml:space="preserve">executive_summary.md: 1-page non-technical summary for the CCO with accuracy metrics, cost analysis, risk assessment, and deploy/iterate/abandon recommendation.</w:t>
      </w:r>
    </w:p>
    <w:p>
      <w:pPr>
        <w:spacing w:after="160"/>
      </w:pPr>
      <w:r>
        <w:rPr>
          <w:rFonts w:ascii="Arial" w:cs="Arial" w:eastAsia="Arial" w:hAnsi="Arial"/>
          <w:sz w:val="22"/>
          <w:szCs w:val="22"/>
        </w:rPr>
        <w:t xml:space="preserve">system_documentation.md: Technical documentation covering architecture, data pipeline, embedding/retrieval strategy, prompt templates, evaluation methodology, performance, limitations, and monitoring plan.</w:t>
      </w:r>
    </w:p>
    <w:p>
      <w:pPr>
        <w:spacing w:after="160"/>
      </w:pPr>
      <w:r>
        <w:rPr>
          <w:rFonts w:ascii="Arial" w:cs="Arial" w:eastAsia="Arial" w:hAnsi="Arial"/>
          <w:sz w:val="22"/>
          <w:szCs w:val="22"/>
        </w:rPr>
        <w:t xml:space="preserve">evaluation_report.md: Comprehensive evaluation covering faithfulness, relevance, completeness, hallucination analysis, cost breakdown, and configuration comparison.</w:t>
      </w:r>
    </w:p>
    <w:p>
      <w:pPr>
        <w:spacing w:after="160"/>
      </w:pPr>
      <w:r>
        <w:rPr>
          <w:rFonts w:ascii="Arial" w:cs="Arial" w:eastAsia="Arial" w:hAnsi="Arial"/>
          <w:b/>
          <w:bCs/>
          <w:sz w:val="22"/>
          <w:szCs w:val="22"/>
        </w:rPr>
        <w:t xml:space="preserve">Presentation (Day 10)</w:t>
      </w:r>
    </w:p>
    <w:p>
      <w:pPr>
        <w:spacing w:after="160"/>
      </w:pPr>
      <w:r>
        <w:rPr>
          <w:rFonts w:ascii="Arial" w:cs="Arial" w:eastAsia="Arial" w:hAnsi="Arial"/>
          <w:sz w:val="22"/>
          <w:szCs w:val="22"/>
        </w:rPr>
        <w:t xml:space="preserve">Slide deck (PDF or PPTX): 10-15 slides covering problem, approach, results, cost analysis, and recommendation.</w:t>
      </w:r>
    </w:p>
    <w:p>
      <w:pPr>
        <w:spacing w:after="160"/>
      </w:pPr>
      <w:r>
        <w:rPr>
          <w:rFonts w:ascii="Arial" w:cs="Arial" w:eastAsia="Arial" w:hAnsi="Arial"/>
          <w:sz w:val="22"/>
          <w:szCs w:val="22"/>
        </w:rPr>
        <w:t xml:space="preserve">Live demo: Show the system answering a question about a recent Canadian bank filing during Q&amp;A.</w:t>
      </w:r>
    </w:p>
    <w:p>
      <w:pPr>
        <w:spacing w:after="160"/>
      </w:pPr>
      <w:r>
        <w:rPr>
          <w:rFonts w:ascii="Arial" w:cs="Arial" w:eastAsia="Arial" w:hAnsi="Arial"/>
          <w:sz w:val="22"/>
          <w:szCs w:val="22"/>
        </w:rPr>
        <w:t xml:space="preserve">Be prepared for questions from the CCO ('Can I trust this system?'), Head of Technology ('What does it cost?'), and Lead Analyst ('Does this actually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AEEF3" w:val="clear"/>
            <w:tcMar>
              <w:top w:type="dxa" w:w="160"/>
              <w:left w:type="dxa" w:w="200"/>
              <w:bottom w:type="dxa" w:w="160"/>
              <w:right w:type="dxa" w:w="200"/>
            </w:tcMar>
          </w:tcPr>
          <w:p>
            <w:pPr>
              <w:spacing w:after="120"/>
            </w:pPr>
            <w:r>
              <w:rPr>
                <w:rFonts w:ascii="Arial" w:cs="Arial" w:eastAsia="Arial" w:hAnsi="Arial"/>
                <w:b/>
                <w:bCs/>
                <w:sz w:val="22"/>
                <w:szCs w:val="22"/>
              </w:rPr>
              <w:t xml:space="preserve">ℹ️ Minimum Performance Target</w:t>
            </w:r>
          </w:p>
          <w:p>
            <w:pPr>
              <w:spacing w:after="80"/>
            </w:pPr>
            <w:r>
              <w:rPr>
                <w:rFonts w:ascii="Arial" w:cs="Arial" w:eastAsia="Arial" w:hAnsi="Arial"/>
                <w:sz w:val="20"/>
                <w:szCs w:val="20"/>
              </w:rPr>
              <w:t xml:space="preserve">Your RAG system should achieve an average faithfulness score of at least 3.5/5 and an average relevance score of at least 4.0/5 on the 30-question test set. If faithfulness is below 3.5, revisit your retrieval quality and system prompt.</w:t>
            </w:r>
          </w:p>
          <w:p>
            <w:pPr>
              <w:spacing w:after="80"/>
            </w:pPr>
            <w:r>
              <w:rPr>
                <w:rFonts w:ascii="Arial" w:cs="Arial" w:eastAsia="Arial" w:hAnsi="Arial"/>
                <w:sz w:val="20"/>
                <w:szCs w:val="20"/>
              </w:rPr>
              <w:t xml:space="preserve">If your agentic workflow produces lower accuracy than the basic RAG pipeline, document why and recommend whether the added complexity is warranted for the use cases where agents excel.</w:t>
            </w:r>
          </w:p>
        </w:tc>
      </w:tr>
    </w:tbl>
    <w:p>
      <w:r>
        <w:br w:type="page"/>
      </w:r>
    </w:p>
    <w:p>
      <w:pPr>
        <w:pStyle w:val="Heading1"/>
        <w:spacing w:after="200" w:before="360"/>
      </w:pPr>
      <w:r>
        <w:rPr>
          <w:rFonts w:ascii="Arial" w:cs="Arial" w:eastAsia="Arial" w:hAnsi="Arial"/>
          <w:b/>
          <w:bCs/>
          <w:color w:val="1F3864"/>
          <w:sz w:val="32"/>
          <w:szCs w:val="32"/>
        </w:rPr>
        <w:t xml:space="preserve">Recommended Reading &amp; Resources</w:t>
      </w:r>
    </w:p>
    <w:p>
      <w:pPr>
        <w:spacing w:after="160"/>
      </w:pPr>
      <w:r>
        <w:rPr>
          <w:rFonts w:ascii="Arial" w:cs="Arial" w:eastAsia="Arial" w:hAnsi="Arial"/>
          <w:b/>
          <w:bCs/>
          <w:sz w:val="22"/>
          <w:szCs w:val="22"/>
        </w:rPr>
        <w:t xml:space="preserve">Books</w:t>
      </w:r>
    </w:p>
    <w:p>
      <w:pPr>
        <w:spacing w:after="160"/>
      </w:pPr>
      <w:r>
        <w:rPr>
          <w:rFonts w:ascii="Arial" w:cs="Arial" w:eastAsia="Arial" w:hAnsi="Arial"/>
          <w:sz w:val="22"/>
          <w:szCs w:val="22"/>
        </w:rPr>
        <w:t xml:space="preserve">Building LLM Apps - Valentina Alto (Packt, 2024)</w:t>
      </w:r>
    </w:p>
    <w:p>
      <w:pPr>
        <w:spacing w:after="160"/>
      </w:pPr>
      <w:r>
        <w:rPr>
          <w:rFonts w:ascii="Arial" w:cs="Arial" w:eastAsia="Arial" w:hAnsi="Arial"/>
          <w:sz w:val="22"/>
          <w:szCs w:val="22"/>
        </w:rPr>
        <w:t xml:space="preserve">Designing Large Language Model Applications - Suhas Pai (O'Reilly, 2024)</w:t>
      </w:r>
    </w:p>
    <w:p>
      <w:pPr>
        <w:spacing w:after="160"/>
      </w:pPr>
      <w:r>
        <w:rPr>
          <w:rFonts w:ascii="Arial" w:cs="Arial" w:eastAsia="Arial" w:hAnsi="Arial"/>
          <w:sz w:val="22"/>
          <w:szCs w:val="22"/>
        </w:rPr>
        <w:t xml:space="preserve">Natural Language Processing with Transformers - Lewis Tunstall et al. (O'Reilly)</w:t>
      </w:r>
    </w:p>
    <w:p>
      <w:pPr>
        <w:spacing w:after="160"/>
      </w:pPr>
      <w:r>
        <w:rPr>
          <w:rFonts w:ascii="Arial" w:cs="Arial" w:eastAsia="Arial" w:hAnsi="Arial"/>
          <w:b/>
          <w:bCs/>
          <w:sz w:val="22"/>
          <w:szCs w:val="22"/>
        </w:rPr>
        <w:t xml:space="preserve">Canadian Regulatory Resources</w:t>
      </w:r>
    </w:p>
    <w:p>
      <w:pPr>
        <w:spacing w:after="160"/>
      </w:pPr>
      <w:r>
        <w:rPr>
          <w:rFonts w:ascii="Arial" w:cs="Arial" w:eastAsia="Arial" w:hAnsi="Arial"/>
          <w:sz w:val="22"/>
          <w:szCs w:val="22"/>
        </w:rPr>
        <w:t xml:space="preserve">OSFI Guideline E-23: Model Risk Management - osfi-bsif.gc.ca</w:t>
      </w:r>
    </w:p>
    <w:p>
      <w:pPr>
        <w:spacing w:after="160"/>
      </w:pPr>
      <w:r>
        <w:rPr>
          <w:rFonts w:ascii="Arial" w:cs="Arial" w:eastAsia="Arial" w:hAnsi="Arial"/>
          <w:sz w:val="22"/>
          <w:szCs w:val="22"/>
        </w:rPr>
        <w:t xml:space="preserve">OSFI Guideline B-15: Climate Risk Management - osfi-bsif.gc.ca</w:t>
      </w:r>
    </w:p>
    <w:p>
      <w:pPr>
        <w:spacing w:after="160"/>
      </w:pPr>
      <w:r>
        <w:rPr>
          <w:rFonts w:ascii="Arial" w:cs="Arial" w:eastAsia="Arial" w:hAnsi="Arial"/>
          <w:sz w:val="22"/>
          <w:szCs w:val="22"/>
        </w:rPr>
        <w:t xml:space="preserve">OSFI Guideline B-10: Outsourcing of Business Activities - osfi-bsif.gc.ca</w:t>
      </w:r>
    </w:p>
    <w:p>
      <w:pPr>
        <w:spacing w:after="160"/>
      </w:pPr>
      <w:r>
        <w:rPr>
          <w:rFonts w:ascii="Arial" w:cs="Arial" w:eastAsia="Arial" w:hAnsi="Arial"/>
          <w:sz w:val="22"/>
          <w:szCs w:val="22"/>
        </w:rPr>
        <w:t xml:space="preserve">SEDAR+: Canadian public company filings - www.sedarplus.ca</w:t>
      </w:r>
    </w:p>
    <w:p>
      <w:pPr>
        <w:spacing w:after="160"/>
      </w:pPr>
      <w:r>
        <w:rPr>
          <w:rFonts w:ascii="Arial" w:cs="Arial" w:eastAsia="Arial" w:hAnsi="Arial"/>
          <w:b/>
          <w:bCs/>
          <w:sz w:val="22"/>
          <w:szCs w:val="22"/>
        </w:rPr>
        <w:t xml:space="preserve">Websites &amp; Online Courses</w:t>
      </w:r>
    </w:p>
    <w:p>
      <w:pPr>
        <w:spacing w:after="160"/>
      </w:pPr>
      <w:r>
        <w:rPr>
          <w:rFonts w:ascii="Arial" w:cs="Arial" w:eastAsia="Arial" w:hAnsi="Arial"/>
          <w:sz w:val="22"/>
          <w:szCs w:val="22"/>
        </w:rPr>
        <w:t xml:space="preserve">DeepLearning.AI Short Courses (free): deeplearning.ai/short-courses</w:t>
      </w:r>
    </w:p>
    <w:p>
      <w:pPr>
        <w:spacing w:after="160"/>
      </w:pPr>
      <w:r>
        <w:rPr>
          <w:rFonts w:ascii="Arial" w:cs="Arial" w:eastAsia="Arial" w:hAnsi="Arial"/>
          <w:sz w:val="22"/>
          <w:szCs w:val="22"/>
        </w:rPr>
        <w:t xml:space="preserve">LangChain Documentation: python.langchain.com</w:t>
      </w:r>
    </w:p>
    <w:p>
      <w:pPr>
        <w:spacing w:after="160"/>
      </w:pPr>
      <w:r>
        <w:rPr>
          <w:rFonts w:ascii="Arial" w:cs="Arial" w:eastAsia="Arial" w:hAnsi="Arial"/>
          <w:sz w:val="22"/>
          <w:szCs w:val="22"/>
        </w:rPr>
        <w:t xml:space="preserve">OpenAI Cookbook: cookbook.openai.com</w:t>
      </w:r>
    </w:p>
    <w:p>
      <w:pPr>
        <w:spacing w:after="160"/>
      </w:pPr>
      <w:r>
        <w:rPr>
          <w:rFonts w:ascii="Arial" w:cs="Arial" w:eastAsia="Arial" w:hAnsi="Arial"/>
          <w:sz w:val="22"/>
          <w:szCs w:val="22"/>
        </w:rPr>
        <w:t xml:space="preserve">Hugging Face NLP Course: huggingface.co/learn/nlp-course</w:t>
      </w:r>
    </w:p>
    <w:p>
      <w:pPr>
        <w:spacing w:after="160"/>
      </w:pPr>
      <w:r>
        <w:rPr>
          <w:rFonts w:ascii="Arial" w:cs="Arial" w:eastAsia="Arial" w:hAnsi="Arial"/>
          <w:sz w:val="22"/>
          <w:szCs w:val="22"/>
        </w:rPr>
        <w:t xml:space="preserve">MLflow Documentation: mlflow.org/docs</w:t>
      </w:r>
    </w:p>
    <w:p>
      <w:pPr>
        <w:spacing w:after="160"/>
      </w:pPr>
      <w:r>
        <w:rPr>
          <w:rFonts w:ascii="Arial" w:cs="Arial" w:eastAsia="Arial" w:hAnsi="Arial"/>
          <w:sz w:val="22"/>
          <w:szCs w:val="22"/>
        </w:rPr>
        <w:t xml:space="preserve">ChromaDB Documentation: docs.trychroma.com</w:t>
      </w:r>
    </w:p>
    <w:p>
      <w:pPr>
        <w:spacing w:after="160"/>
      </w:pPr>
      <w:r>
        <w:rPr>
          <w:rFonts w:ascii="Arial" w:cs="Arial" w:eastAsia="Arial" w:hAnsi="Arial"/>
          <w:sz w:val="22"/>
          <w:szCs w:val="22"/>
        </w:rPr>
        <w:t xml:space="preserve">Databricks Generative AI Documentation: docs.databricks.com/en/generative-ai</w:t>
      </w:r>
    </w:p>
    <w:p>
      <w:pPr>
        <w:spacing w:after="160"/>
      </w:pPr>
      <w:r>
        <w:rPr>
          <w:rFonts w:ascii="Arial" w:cs="Arial" w:eastAsia="Arial" w:hAnsi="Arial"/>
          <w:sz w:val="22"/>
          <w:szCs w:val="22"/>
        </w:rPr>
        <w:t xml:space="preserve">RAGAS Evaluation Framework: docs.ragas.io</w:t>
      </w:r>
    </w:p>
    <w:p>
      <w:pPr>
        <w:spacing w:after="160"/>
      </w:pPr>
      <w:r>
        <w:rPr>
          <w:rFonts w:ascii="Arial" w:cs="Arial" w:eastAsia="Arial" w:hAnsi="Arial"/>
          <w:b/>
          <w:bCs/>
          <w:sz w:val="22"/>
          <w:szCs w:val="22"/>
        </w:rPr>
        <w:t xml:space="preserve">Complete Video Resource Index</w:t>
      </w:r>
    </w:p>
    <w:p>
      <w:pPr>
        <w:spacing w:after="160"/>
      </w:pPr>
      <w:r>
        <w:rPr>
          <w:rFonts w:ascii="Arial" w:cs="Arial" w:eastAsia="Arial" w:hAnsi="Arial"/>
          <w:b/>
          <w:bCs/>
          <w:color w:val="1F3864"/>
          <w:sz w:val="22"/>
          <w:szCs w:val="22"/>
        </w:rPr>
        <w:t xml:space="preserve">Foundation Models &amp; LLMs</w:t>
      </w:r>
    </w:p>
    <w:p>
      <w:pPr>
        <w:spacing w:after="160"/>
      </w:pPr>
      <w:r>
        <w:rPr>
          <w:rFonts w:ascii="Arial" w:cs="Arial" w:eastAsia="Arial" w:hAnsi="Arial"/>
          <w:sz w:val="22"/>
          <w:szCs w:val="22"/>
        </w:rPr>
        <w:t xml:space="preserve">DeepLearning.AI: ChatGPT Prompt Engineering for Developers</w:t>
      </w:r>
    </w:p>
    <w:p>
      <w:pPr>
        <w:spacing w:after="160"/>
      </w:pPr>
      <w:r>
        <w:rPr>
          <w:rFonts w:ascii="Arial" w:cs="Arial" w:eastAsia="Arial" w:hAnsi="Arial"/>
          <w:sz w:val="22"/>
          <w:szCs w:val="22"/>
        </w:rPr>
        <w:t xml:space="preserve">YouTube: Intro to Large Language Models (Andrej Karpathy)</w:t>
      </w:r>
    </w:p>
    <w:p>
      <w:pPr>
        <w:spacing w:after="160"/>
      </w:pPr>
      <w:r>
        <w:rPr>
          <w:rFonts w:ascii="Arial" w:cs="Arial" w:eastAsia="Arial" w:hAnsi="Arial"/>
          <w:sz w:val="22"/>
          <w:szCs w:val="22"/>
        </w:rPr>
        <w:t xml:space="preserve">YouTube: How GPT Works (3Blue1Brown)</w:t>
      </w:r>
    </w:p>
    <w:p>
      <w:pPr>
        <w:spacing w:after="160"/>
      </w:pPr>
      <w:r>
        <w:rPr>
          <w:rFonts w:ascii="Arial" w:cs="Arial" w:eastAsia="Arial" w:hAnsi="Arial"/>
          <w:b/>
          <w:bCs/>
          <w:color w:val="1F3864"/>
          <w:sz w:val="22"/>
          <w:szCs w:val="22"/>
        </w:rPr>
        <w:t xml:space="preserve">Embeddings &amp; Vector Databases</w:t>
      </w:r>
    </w:p>
    <w:p>
      <w:pPr>
        <w:spacing w:after="160"/>
      </w:pPr>
      <w:r>
        <w:rPr>
          <w:rFonts w:ascii="Arial" w:cs="Arial" w:eastAsia="Arial" w:hAnsi="Arial"/>
          <w:sz w:val="22"/>
          <w:szCs w:val="22"/>
        </w:rPr>
        <w:t xml:space="preserve">DeepLearning.AI: Vector Databases from Embeddings to Applications</w:t>
      </w:r>
    </w:p>
    <w:p>
      <w:pPr>
        <w:spacing w:after="160"/>
      </w:pPr>
      <w:r>
        <w:rPr>
          <w:rFonts w:ascii="Arial" w:cs="Arial" w:eastAsia="Arial" w:hAnsi="Arial"/>
          <w:sz w:val="22"/>
          <w:szCs w:val="22"/>
        </w:rPr>
        <w:t xml:space="preserve">YouTube: Word Embeddings and Word2Vec (Luis Serrano)</w:t>
      </w:r>
    </w:p>
    <w:p>
      <w:pPr>
        <w:spacing w:after="160"/>
      </w:pPr>
      <w:r>
        <w:rPr>
          <w:rFonts w:ascii="Arial" w:cs="Arial" w:eastAsia="Arial" w:hAnsi="Arial"/>
          <w:b/>
          <w:bCs/>
          <w:color w:val="1F3864"/>
          <w:sz w:val="22"/>
          <w:szCs w:val="22"/>
        </w:rPr>
        <w:t xml:space="preserve">Prompt Engineering</w:t>
      </w:r>
    </w:p>
    <w:p>
      <w:pPr>
        <w:spacing w:after="160"/>
      </w:pPr>
      <w:r>
        <w:rPr>
          <w:rFonts w:ascii="Arial" w:cs="Arial" w:eastAsia="Arial" w:hAnsi="Arial"/>
          <w:sz w:val="22"/>
          <w:szCs w:val="22"/>
        </w:rPr>
        <w:t xml:space="preserve">DeepLearning.AI: ChatGPT Prompt Engineering for Developers</w:t>
      </w:r>
    </w:p>
    <w:p>
      <w:pPr>
        <w:spacing w:after="160"/>
      </w:pPr>
      <w:r>
        <w:rPr>
          <w:rFonts w:ascii="Arial" w:cs="Arial" w:eastAsia="Arial" w:hAnsi="Arial"/>
          <w:sz w:val="22"/>
          <w:szCs w:val="22"/>
        </w:rPr>
        <w:t xml:space="preserve">YouTube: Master Prompt Engineering (freeCodeCamp)</w:t>
      </w:r>
    </w:p>
    <w:p>
      <w:pPr>
        <w:spacing w:after="160"/>
      </w:pPr>
      <w:r>
        <w:rPr>
          <w:rFonts w:ascii="Arial" w:cs="Arial" w:eastAsia="Arial" w:hAnsi="Arial"/>
          <w:b/>
          <w:bCs/>
          <w:color w:val="1F3864"/>
          <w:sz w:val="22"/>
          <w:szCs w:val="22"/>
        </w:rPr>
        <w:t xml:space="preserve">RAG &amp; LangChain</w:t>
      </w:r>
    </w:p>
    <w:p>
      <w:pPr>
        <w:spacing w:after="160"/>
      </w:pPr>
      <w:r>
        <w:rPr>
          <w:rFonts w:ascii="Arial" w:cs="Arial" w:eastAsia="Arial" w:hAnsi="Arial"/>
          <w:sz w:val="22"/>
          <w:szCs w:val="22"/>
        </w:rPr>
        <w:t xml:space="preserve">DeepLearning.AI: LangChain for LLM Application Development</w:t>
      </w:r>
    </w:p>
    <w:p>
      <w:pPr>
        <w:spacing w:after="160"/>
      </w:pPr>
      <w:r>
        <w:rPr>
          <w:rFonts w:ascii="Arial" w:cs="Arial" w:eastAsia="Arial" w:hAnsi="Arial"/>
          <w:sz w:val="22"/>
          <w:szCs w:val="22"/>
        </w:rPr>
        <w:t xml:space="preserve">DeepLearning.AI: Building and Evaluating Advanced RAG</w:t>
      </w:r>
    </w:p>
    <w:p>
      <w:pPr>
        <w:spacing w:after="160"/>
      </w:pPr>
      <w:r>
        <w:rPr>
          <w:rFonts w:ascii="Arial" w:cs="Arial" w:eastAsia="Arial" w:hAnsi="Arial"/>
          <w:sz w:val="22"/>
          <w:szCs w:val="22"/>
        </w:rPr>
        <w:t xml:space="preserve">YouTube: RAG from Scratch (LangChain series)</w:t>
      </w:r>
    </w:p>
    <w:p>
      <w:pPr>
        <w:spacing w:after="160"/>
      </w:pPr>
      <w:r>
        <w:rPr>
          <w:rFonts w:ascii="Arial" w:cs="Arial" w:eastAsia="Arial" w:hAnsi="Arial"/>
          <w:b/>
          <w:bCs/>
          <w:color w:val="1F3864"/>
          <w:sz w:val="22"/>
          <w:szCs w:val="22"/>
        </w:rPr>
        <w:t xml:space="preserve">Agentic AI</w:t>
      </w:r>
    </w:p>
    <w:p>
      <w:pPr>
        <w:spacing w:after="160"/>
      </w:pPr>
      <w:r>
        <w:rPr>
          <w:rFonts w:ascii="Arial" w:cs="Arial" w:eastAsia="Arial" w:hAnsi="Arial"/>
          <w:sz w:val="22"/>
          <w:szCs w:val="22"/>
        </w:rPr>
        <w:t xml:space="preserve">DeepLearning.AI: Functions, Tools and Agents with LangChain</w:t>
      </w:r>
    </w:p>
    <w:p>
      <w:pPr>
        <w:spacing w:after="160"/>
      </w:pPr>
      <w:r>
        <w:rPr>
          <w:rFonts w:ascii="Arial" w:cs="Arial" w:eastAsia="Arial" w:hAnsi="Arial"/>
          <w:sz w:val="22"/>
          <w:szCs w:val="22"/>
        </w:rPr>
        <w:t xml:space="preserve">DeepLearning.AI: AI Agents in LangGraph</w:t>
      </w:r>
    </w:p>
    <w:p>
      <w:pPr>
        <w:spacing w:after="160"/>
      </w:pPr>
      <w:r>
        <w:rPr>
          <w:rFonts w:ascii="Arial" w:cs="Arial" w:eastAsia="Arial" w:hAnsi="Arial"/>
          <w:b/>
          <w:bCs/>
          <w:color w:val="1F3864"/>
          <w:sz w:val="22"/>
          <w:szCs w:val="22"/>
        </w:rPr>
        <w:t xml:space="preserve">Evaluation &amp; MLflow</w:t>
      </w:r>
    </w:p>
    <w:p>
      <w:pPr>
        <w:spacing w:after="160"/>
      </w:pPr>
      <w:r>
        <w:rPr>
          <w:rFonts w:ascii="Arial" w:cs="Arial" w:eastAsia="Arial" w:hAnsi="Arial"/>
          <w:sz w:val="22"/>
          <w:szCs w:val="22"/>
        </w:rPr>
        <w:t xml:space="preserve">DeepLearning.AI: Building and Evaluating Advanced RAG</w:t>
      </w:r>
    </w:p>
    <w:p>
      <w:pPr>
        <w:spacing w:after="160"/>
      </w:pPr>
      <w:r>
        <w:rPr>
          <w:rFonts w:ascii="Arial" w:cs="Arial" w:eastAsia="Arial" w:hAnsi="Arial"/>
          <w:sz w:val="22"/>
          <w:szCs w:val="22"/>
        </w:rPr>
        <w:t xml:space="preserve">YouTube: Evaluating LLM Applications (Weights &amp; Biases)</w:t>
      </w:r>
    </w:p>
    <w:p>
      <w:pPr>
        <w:spacing w:after="160"/>
      </w:pPr>
      <w:r>
        <w:rPr>
          <w:rFonts w:ascii="Arial" w:cs="Arial" w:eastAsia="Arial" w:hAnsi="Arial"/>
          <w:sz w:val="22"/>
          <w:szCs w:val="22"/>
        </w:rPr>
        <w:t xml:space="preserve">YouTube: MLflow for LLMs (Databricks)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08080"/>
        <w:sz w:val="16"/>
        <w:szCs w:val="16"/>
      </w:rPr>
      <w:t xml:space="preserve">Jarvis MLE Training Program</w:t>
    </w:r>
    <w:r>
      <w:rPr>
        <w:rFonts w:ascii="Arial" w:cs="Arial" w:eastAsia="Arial" w:hAnsi="Arial"/>
        <w:color w:val="808080"/>
        <w:sz w:val="16"/>
        <w:szCs w:val="16"/>
      </w:rPr>
      <w:t xml:space="preserve">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808080"/>
        <w:sz w:val="18"/>
        <w:szCs w:val="18"/>
      </w:rPr>
      <w:t xml:space="preserve">MACHINE LEARNING ENGINEER</w:t>
    </w:r>
    <w:r>
      <w:rPr>
        <w:rFonts w:ascii="Arial" w:cs="Arial" w:eastAsia="Arial" w:hAnsi="Arial"/>
        <w:color w:val="808080"/>
        <w:sz w:val="18"/>
        <w:szCs w:val="18"/>
      </w:rPr>
      <w:t xml:space="preserve">	Module 4: GenAI Application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_selh9udbcwygrnq9djh" Type="http://schemas.openxmlformats.org/officeDocument/2006/relationships/hyperlink" Target="https://www.deeplearning.ai/short-courses/chatgpt-prompt-engineering-for-developers/" TargetMode="External"/><Relationship Id="rIddb1f1xajcz8umkuby7use" Type="http://schemas.openxmlformats.org/officeDocument/2006/relationships/hyperlink" Target="https://www.youtube.com/watch?v=zjkBMFhNj_g" TargetMode="External"/><Relationship Id="rIdub5iztj8ibvsqwyd6uddz" Type="http://schemas.openxmlformats.org/officeDocument/2006/relationships/hyperlink" Target="https://www.youtube.com/watch?v=wjZofJX0v4M" TargetMode="External"/><Relationship Id="rIdnoxxw3kt6bg6lzk-3-zmd" Type="http://schemas.openxmlformats.org/officeDocument/2006/relationships/hyperlink" Target="https://www.youtube.com/watch?v=3G5hWM6jqPk" TargetMode="External"/><Relationship Id="rIddiurnvd4hqfc4iaal7l30" Type="http://schemas.openxmlformats.org/officeDocument/2006/relationships/hyperlink" Target="https://www.youtube.com/watch?v=wjZofJX0v4M" TargetMode="External"/><Relationship Id="rIdihrmr0k-nkryharpbnrqd" Type="http://schemas.openxmlformats.org/officeDocument/2006/relationships/hyperlink" Target="https://platform.openai.com/docs/guides/text-generation" TargetMode="External"/><Relationship Id="rIdmltvjkgbt5fooxq2m1pvn" Type="http://schemas.openxmlformats.org/officeDocument/2006/relationships/hyperlink" Target="https://docs.anthropic.com/en/docs/build-with-claude/prompt-engineering/overview" TargetMode="External"/><Relationship Id="rIdnkylndis7jjitm69snfn4" Type="http://schemas.openxmlformats.org/officeDocument/2006/relationships/hyperlink" Target="https://huggingface.co/learn/nlp-course" TargetMode="External"/><Relationship Id="rIdzaegzftgbscxgxoktdwbr" Type="http://schemas.openxmlformats.org/officeDocument/2006/relationships/hyperlink" Target="https://bbycroft.net/llm" TargetMode="External"/><Relationship Id="rIduismvyvojbktzzlfpnv5p" Type="http://schemas.openxmlformats.org/officeDocument/2006/relationships/hyperlink" Target="https://jalammar.github.io/illustrated-transformer/" TargetMode="External"/><Relationship Id="rIdhfytcpj6tznz0ejpwlew1" Type="http://schemas.openxmlformats.org/officeDocument/2006/relationships/hyperlink" Target="https://developers.google.com/machine-learning/crash-course" TargetMode="External"/><Relationship Id="rIdvzj7s5tnysd9n4_erplqq" Type="http://schemas.openxmlformats.org/officeDocument/2006/relationships/hyperlink" Target="https://www.deeplearning.ai/short-courses/vector-databases-embeddings-applications/" TargetMode="External"/><Relationship Id="rId16zakjxnvz3ifbn1tfknx" Type="http://schemas.openxmlformats.org/officeDocument/2006/relationships/hyperlink" Target="https://www.youtube.com/watch?v=gQddtTdmG_8" TargetMode="External"/><Relationship Id="rIdpc6ypcb6n-8njesqeu2k8" Type="http://schemas.openxmlformats.org/officeDocument/2006/relationships/hyperlink" Target="https://www.youtube.com/watch?v=viZrOnJclY0" TargetMode="External"/><Relationship Id="rIdlulccjcttp7ysr5fll_al" Type="http://schemas.openxmlformats.org/officeDocument/2006/relationships/hyperlink" Target="https://www.youtube.com/watch?v=QSW2L8dkaZk" TargetMode="External"/><Relationship Id="rId1tz59l3oikp4sgd2cdlsc" Type="http://schemas.openxmlformats.org/officeDocument/2006/relationships/hyperlink" Target="https://platform.openai.com/docs/guides/embeddings" TargetMode="External"/><Relationship Id="rIdwbgyctllweffcftvaikiq" Type="http://schemas.openxmlformats.org/officeDocument/2006/relationships/hyperlink" Target="https://docs.trychroma.com/" TargetMode="External"/><Relationship Id="rId8bixnbsvgwcjs_kvq48cg" Type="http://schemas.openxmlformats.org/officeDocument/2006/relationships/hyperlink" Target="https://www.sbert.net/" TargetMode="External"/><Relationship Id="rIdutaw95ziovimqzztuldhb" Type="http://schemas.openxmlformats.org/officeDocument/2006/relationships/hyperlink" Target="https://www.pinecone.io/learn/vector-embeddings/" TargetMode="External"/><Relationship Id="rIdifwo-vq4p9prbeygw26np" Type="http://schemas.openxmlformats.org/officeDocument/2006/relationships/hyperlink" Target="https://huggingface.co/spaces/mteb/leaderboard" TargetMode="External"/><Relationship Id="rIds7r-2jhossic1lulhls0m" Type="http://schemas.openxmlformats.org/officeDocument/2006/relationships/hyperlink" Target="https://weaviate.io/blog/distance-metrics-in-vector-search" TargetMode="External"/><Relationship Id="rIdvsj1ju_50tv2qcrgss5nb" Type="http://schemas.openxmlformats.org/officeDocument/2006/relationships/hyperlink" Target="https://www.deeplearning.ai/short-courses/chatgpt-prompt-engineering-for-developers/" TargetMode="External"/><Relationship Id="rIdxn6nq6apz_hit-ktfu3im" Type="http://schemas.openxmlformats.org/officeDocument/2006/relationships/hyperlink" Target="https://www.youtube.com/watch?v=T9aRN5JkmL8" TargetMode="External"/><Relationship Id="rIdweyfqgbh84hkrljstvsqr" Type="http://schemas.openxmlformats.org/officeDocument/2006/relationships/hyperlink" Target="https://www.youtube.com/watch?v=dOxUroR57xs" TargetMode="External"/><Relationship Id="rIdfkj9djzphzkmujmqatdjq" Type="http://schemas.openxmlformats.org/officeDocument/2006/relationships/hyperlink" Target="https://www.youtube.com/watch?v=jC4v5AS4RIM" TargetMode="External"/><Relationship Id="rIdwkx0x5fd2pful8yf-sqpz" Type="http://schemas.openxmlformats.org/officeDocument/2006/relationships/hyperlink" Target="https://platform.openai.com/docs/guides/prompt-engineering" TargetMode="External"/><Relationship Id="rIddtiwurzvu7vpnydlybvxt" Type="http://schemas.openxmlformats.org/officeDocument/2006/relationships/hyperlink" Target="https://docs.anthropic.com/en/docs/build-with-claude/prompt-engineering/overview" TargetMode="External"/><Relationship Id="rIdbhfzijtvricfnbuhpezdk" Type="http://schemas.openxmlformats.org/officeDocument/2006/relationships/hyperlink" Target="https://learn.microsoft.com/en-us/azure/ai-services/openai/concepts/prompt-engineering" TargetMode="External"/><Relationship Id="rIdnhzpge2ryxhfby-jh99hb" Type="http://schemas.openxmlformats.org/officeDocument/2006/relationships/hyperlink" Target="https://lilianweng.github.io/posts/2023-03-15-prompt-engineering/" TargetMode="External"/><Relationship Id="rId3nfe8mmaygjxtdgezki7l" Type="http://schemas.openxmlformats.org/officeDocument/2006/relationships/hyperlink" Target="https://arxiv.org/abs/2201.11903" TargetMode="External"/><Relationship Id="rId589cqvqdgmvvgctnixden" Type="http://schemas.openxmlformats.org/officeDocument/2006/relationships/hyperlink" Target="https://www.deeplearning.ai/short-courses/langchain-for-llm-application-development/" TargetMode="External"/><Relationship Id="rIdg1uju2gspy-1m-_dxynbi" Type="http://schemas.openxmlformats.org/officeDocument/2006/relationships/hyperlink" Target="https://www.deeplearning.ai/short-courses/building-evaluating-advanced-rag/" TargetMode="External"/><Relationship Id="rIds1p5ee1kns6hjsiez7b1m" Type="http://schemas.openxmlformats.org/officeDocument/2006/relationships/hyperlink" Target="https://www.youtube.com/watch?v=wd7TZ4w1mSw" TargetMode="External"/><Relationship Id="rIdnlxfv69pch_ucgriqile4" Type="http://schemas.openxmlformats.org/officeDocument/2006/relationships/hyperlink" Target="https://www.youtube.com/watch?v=TRjq7t2Ms5I" TargetMode="External"/><Relationship Id="rIdasgheniqd7um1tt3drcpl" Type="http://schemas.openxmlformats.org/officeDocument/2006/relationships/hyperlink" Target="https://python.langchain.com/docs/tutorials/rag/" TargetMode="External"/><Relationship Id="rIdtcmh53wvypjymugke9ocy" Type="http://schemas.openxmlformats.org/officeDocument/2006/relationships/hyperlink" Target="https://python.langchain.com/docs/concepts/retrieval/" TargetMode="External"/><Relationship Id="rIdn-wzf-ymfiinkuuicztxq" Type="http://schemas.openxmlformats.org/officeDocument/2006/relationships/hyperlink" Target="https://docs.databricks.com/en/generative-ai/retrieval-augmented-generation.html" TargetMode="External"/><Relationship Id="rIdwr9y4er-f2zlhs-ddi9-u" Type="http://schemas.openxmlformats.org/officeDocument/2006/relationships/hyperlink" Target="https://docs.llamaindex.ai/" TargetMode="External"/><Relationship Id="rId7wy7i8m3g-cflosbtqjma" Type="http://schemas.openxmlformats.org/officeDocument/2006/relationships/hyperlink" Target="https://www.pinecone.io/learn/retrieval-augmented-generation/" TargetMode="External"/><Relationship Id="rIdd7bdb4n9jskapn8n3u1c0" Type="http://schemas.openxmlformats.org/officeDocument/2006/relationships/hyperlink" Target="https://www.deeplearning.ai/short-courses/functions-tools-agents-langchain/" TargetMode="External"/><Relationship Id="rIdi8cyd-wpcy8xktezeegxb" Type="http://schemas.openxmlformats.org/officeDocument/2006/relationships/hyperlink" Target="https://www.deeplearning.ai/short-courses/ai-agents-in-langgraph/" TargetMode="External"/><Relationship Id="rId5xuq6cu9ontlxtkg_okw9" Type="http://schemas.openxmlformats.org/officeDocument/2006/relationships/hyperlink" Target="https://www.youtube.com/watch?v=CnJH0ouTQ0s" TargetMode="External"/><Relationship Id="rIdihnaogrjkddnb8nwra7ur" Type="http://schemas.openxmlformats.org/officeDocument/2006/relationships/hyperlink" Target="https://www.youtube.com/watch?v=F8NKVhkZZWI" TargetMode="External"/><Relationship Id="rIdq59dapclp8o7mrnaeb_qz" Type="http://schemas.openxmlformats.org/officeDocument/2006/relationships/hyperlink" Target="https://platform.openai.com/docs/guides/function-calling" TargetMode="External"/><Relationship Id="rIdl23x01g_ndgpn8aaovdcn" Type="http://schemas.openxmlformats.org/officeDocument/2006/relationships/hyperlink" Target="https://python.langchain.com/docs/concepts/agents/" TargetMode="External"/><Relationship Id="rIdgqebbjnvpghjoki835k8j" Type="http://schemas.openxmlformats.org/officeDocument/2006/relationships/hyperlink" Target="https://langchain-ai.github.io/langgraph/" TargetMode="External"/><Relationship Id="rIdhgdvbmxz2wpmfiznypn24" Type="http://schemas.openxmlformats.org/officeDocument/2006/relationships/hyperlink" Target="https://lilianweng.github.io/posts/2023-06-23-agent/" TargetMode="External"/><Relationship Id="rIdu7bsvyymz50dhso1jkfwx" Type="http://schemas.openxmlformats.org/officeDocument/2006/relationships/hyperlink" Target="https://docs.anthropic.com/en/docs/build-with-claude/tool-use" TargetMode="External"/><Relationship Id="rIdl5velpbljro5mtcole_5v" Type="http://schemas.openxmlformats.org/officeDocument/2006/relationships/hyperlink" Target="https://www.deeplearning.ai/short-courses/building-evaluating-advanced-rag/" TargetMode="External"/><Relationship Id="rIdsm_jewydfyjknslxyzqlg" Type="http://schemas.openxmlformats.org/officeDocument/2006/relationships/hyperlink" Target="https://www.youtube.com/watch?v=r-HUnht-Gns" TargetMode="External"/><Relationship Id="rIdkfrtdxprvqigbuxatpu6h" Type="http://schemas.openxmlformats.org/officeDocument/2006/relationships/hyperlink" Target="https://www.youtube.com/watch?v=3vGNFXdrbOc" TargetMode="External"/><Relationship Id="rId18khdkr_gxrfqnlhlxqut" Type="http://schemas.openxmlformats.org/officeDocument/2006/relationships/hyperlink" Target="https://www.youtube.com/watch?v=j4kPJLkP_3Q" TargetMode="External"/><Relationship Id="rIdp338rybkz_tiq7jdseuqo" Type="http://schemas.openxmlformats.org/officeDocument/2006/relationships/hyperlink" Target="https://docs.ragas.io/" TargetMode="External"/><Relationship Id="rId9_wmr3w4mfodjapnu-qqk" Type="http://schemas.openxmlformats.org/officeDocument/2006/relationships/hyperlink" Target="https://mlflow.org/docs/latest/llms/index.html" TargetMode="External"/><Relationship Id="rIdpoaoytcvmekdm0bjijqcq" Type="http://schemas.openxmlformats.org/officeDocument/2006/relationships/hyperlink" Target="https://docs.databricks.com/en/generative-ai/tutorials/ai-cookbook/quality-evaluation.html" TargetMode="External"/><Relationship Id="rIdwzofwg2htggeaz-2evks_" Type="http://schemas.openxmlformats.org/officeDocument/2006/relationships/hyperlink" Target="https://docs.confident-ai.com/" TargetMode="External"/><Relationship Id="rIdddzrryhdmxb31nbwnj8uy" Type="http://schemas.openxmlformats.org/officeDocument/2006/relationships/hyperlink" Target="https://hamel.dev/blog/posts/evals/" TargetMode="External"/><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2026-04-19T17:19:11.666Z</dcterms:created>
  <dcterms:modified xsi:type="dcterms:W3CDTF">2026-04-19T17:19:11.697Z</dcterms:modified>
</cp:coreProperties>
</file>

<file path=docProps/custom.xml><?xml version="1.0" encoding="utf-8"?>
<Properties xmlns="http://schemas.openxmlformats.org/officeDocument/2006/custom-properties" xmlns:vt="http://schemas.openxmlformats.org/officeDocument/2006/docPropsVTypes"/>
</file>