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F07AFB" w14:textId="77777777" w:rsidR="00D4067F" w:rsidRPr="00263CA5" w:rsidRDefault="00A26F3C">
      <w:pPr>
        <w:jc w:val="center"/>
        <w:rPr>
          <w:sz w:val="28"/>
          <w:szCs w:val="28"/>
        </w:rPr>
      </w:pPr>
      <w:r w:rsidRPr="00263CA5">
        <w:rPr>
          <w:rFonts w:eastAsia="Arial"/>
          <w:sz w:val="28"/>
          <w:szCs w:val="28"/>
        </w:rPr>
        <w:t>Syllabus</w:t>
      </w:r>
    </w:p>
    <w:p w14:paraId="1EAAC355" w14:textId="77777777" w:rsidR="00D4067F" w:rsidRPr="00263CA5" w:rsidRDefault="00A26F3C">
      <w:pPr>
        <w:jc w:val="center"/>
        <w:rPr>
          <w:sz w:val="28"/>
          <w:szCs w:val="28"/>
        </w:rPr>
      </w:pPr>
      <w:r w:rsidRPr="00263CA5">
        <w:rPr>
          <w:rFonts w:eastAsia="Arial"/>
          <w:b/>
          <w:sz w:val="28"/>
          <w:szCs w:val="28"/>
        </w:rPr>
        <w:t xml:space="preserve">MATH-111, APPLIED PRECALCULUS </w:t>
      </w:r>
    </w:p>
    <w:p w14:paraId="181446AF" w14:textId="54E13133" w:rsidR="00D4067F" w:rsidRPr="00263CA5" w:rsidRDefault="0077262A">
      <w:pPr>
        <w:jc w:val="center"/>
        <w:rPr>
          <w:sz w:val="28"/>
          <w:szCs w:val="28"/>
        </w:rPr>
      </w:pPr>
      <w:r>
        <w:rPr>
          <w:rFonts w:eastAsia="Arial"/>
          <w:sz w:val="28"/>
          <w:szCs w:val="28"/>
        </w:rPr>
        <w:t>FALL</w:t>
      </w:r>
      <w:r w:rsidR="004F24CB">
        <w:rPr>
          <w:rFonts w:eastAsia="Arial"/>
          <w:sz w:val="28"/>
          <w:szCs w:val="28"/>
        </w:rPr>
        <w:t xml:space="preserve"> 2017</w:t>
      </w:r>
    </w:p>
    <w:p w14:paraId="5CE860E5" w14:textId="77777777" w:rsidR="00D4067F" w:rsidRPr="00263CA5" w:rsidRDefault="00D4067F">
      <w:pPr>
        <w:jc w:val="center"/>
      </w:pPr>
    </w:p>
    <w:p w14:paraId="59DA094E" w14:textId="77777777" w:rsidR="00D4067F" w:rsidRPr="00263CA5" w:rsidRDefault="00D4067F"/>
    <w:p w14:paraId="1CA3E68E" w14:textId="343094BA" w:rsidR="00D4067F" w:rsidRPr="00263CA5" w:rsidRDefault="00A26F3C">
      <w:pPr>
        <w:tabs>
          <w:tab w:val="left" w:pos="720"/>
        </w:tabs>
      </w:pPr>
      <w:r w:rsidRPr="00263CA5">
        <w:rPr>
          <w:rFonts w:eastAsia="Arial"/>
          <w:b/>
        </w:rPr>
        <w:t xml:space="preserve">Course: </w:t>
      </w:r>
      <w:r w:rsidRPr="00263CA5">
        <w:rPr>
          <w:rFonts w:eastAsia="Arial"/>
        </w:rPr>
        <w:t>MATH-111</w:t>
      </w:r>
      <w:r w:rsidR="00BB4482">
        <w:rPr>
          <w:rFonts w:eastAsia="Arial"/>
        </w:rPr>
        <w:t>-11</w:t>
      </w:r>
      <w:r w:rsidRPr="00263CA5">
        <w:rPr>
          <w:rFonts w:eastAsia="Arial"/>
        </w:rPr>
        <w:t xml:space="preserve">, Applied </w:t>
      </w:r>
      <w:proofErr w:type="spellStart"/>
      <w:r w:rsidRPr="00263CA5">
        <w:rPr>
          <w:rFonts w:eastAsia="Arial"/>
        </w:rPr>
        <w:t>Precalculus</w:t>
      </w:r>
      <w:proofErr w:type="spellEnd"/>
    </w:p>
    <w:p w14:paraId="56D09AAB" w14:textId="77777777" w:rsidR="00D4067F" w:rsidRPr="00263CA5" w:rsidRDefault="00A26F3C">
      <w:pPr>
        <w:numPr>
          <w:ilvl w:val="0"/>
          <w:numId w:val="1"/>
        </w:numPr>
        <w:tabs>
          <w:tab w:val="left" w:pos="1440"/>
        </w:tabs>
        <w:ind w:hanging="360"/>
      </w:pPr>
      <w:r w:rsidRPr="00263CA5">
        <w:rPr>
          <w:rFonts w:eastAsia="Arial"/>
        </w:rPr>
        <w:t>Credits: 4.00</w:t>
      </w:r>
    </w:p>
    <w:p w14:paraId="1BCA7E18" w14:textId="1CF30432" w:rsidR="00D4067F" w:rsidRPr="00263CA5" w:rsidRDefault="00A26F3C">
      <w:pPr>
        <w:numPr>
          <w:ilvl w:val="0"/>
          <w:numId w:val="1"/>
        </w:numPr>
        <w:tabs>
          <w:tab w:val="left" w:pos="1440"/>
        </w:tabs>
        <w:ind w:hanging="360"/>
      </w:pPr>
      <w:r w:rsidRPr="00263CA5">
        <w:rPr>
          <w:rFonts w:eastAsia="Arial"/>
        </w:rPr>
        <w:t xml:space="preserve">Time: </w:t>
      </w:r>
      <w:r w:rsidRPr="00263CA5">
        <w:rPr>
          <w:rFonts w:eastAsia="Arial"/>
        </w:rPr>
        <w:tab/>
      </w:r>
      <w:r w:rsidR="00BB4482">
        <w:rPr>
          <w:rFonts w:eastAsia="Arial"/>
        </w:rPr>
        <w:t>5:30-7:10 pm</w:t>
      </w:r>
    </w:p>
    <w:p w14:paraId="42542EBE" w14:textId="01712E43" w:rsidR="00D4067F" w:rsidRPr="00263CA5" w:rsidRDefault="00A26F3C">
      <w:pPr>
        <w:numPr>
          <w:ilvl w:val="0"/>
          <w:numId w:val="1"/>
        </w:numPr>
        <w:tabs>
          <w:tab w:val="left" w:pos="1440"/>
        </w:tabs>
        <w:ind w:hanging="360"/>
      </w:pPr>
      <w:r w:rsidRPr="00263CA5">
        <w:rPr>
          <w:rFonts w:eastAsia="Arial"/>
        </w:rPr>
        <w:t xml:space="preserve">Location: </w:t>
      </w:r>
      <w:r w:rsidR="00BB4482">
        <w:rPr>
          <w:rFonts w:eastAsia="Arial"/>
        </w:rPr>
        <w:t>RI 120</w:t>
      </w:r>
    </w:p>
    <w:p w14:paraId="32920890" w14:textId="149F979D" w:rsidR="00D4067F" w:rsidRPr="00263CA5" w:rsidRDefault="00A26F3C">
      <w:pPr>
        <w:numPr>
          <w:ilvl w:val="0"/>
          <w:numId w:val="1"/>
        </w:numPr>
        <w:tabs>
          <w:tab w:val="left" w:pos="1440"/>
        </w:tabs>
        <w:ind w:hanging="360"/>
      </w:pPr>
      <w:r w:rsidRPr="00263CA5">
        <w:rPr>
          <w:rFonts w:eastAsia="Arial"/>
        </w:rPr>
        <w:t xml:space="preserve">Book: </w:t>
      </w:r>
      <w:r w:rsidRPr="00263CA5">
        <w:rPr>
          <w:rFonts w:eastAsia="Arial"/>
        </w:rPr>
        <w:tab/>
        <w:t>Pathways</w:t>
      </w:r>
      <w:r w:rsidR="005B2565" w:rsidRPr="00263CA5">
        <w:rPr>
          <w:rFonts w:eastAsia="Arial"/>
        </w:rPr>
        <w:t xml:space="preserve"> Precalculus, Sixth Edition</w:t>
      </w:r>
    </w:p>
    <w:p w14:paraId="31A80BD1" w14:textId="021FAC78" w:rsidR="00263CA5" w:rsidRDefault="00263CA5" w:rsidP="00263CA5">
      <w:pPr>
        <w:numPr>
          <w:ilvl w:val="0"/>
          <w:numId w:val="1"/>
        </w:numPr>
        <w:tabs>
          <w:tab w:val="left" w:pos="1440"/>
        </w:tabs>
        <w:ind w:hanging="360"/>
      </w:pPr>
      <w:r w:rsidRPr="00263CA5">
        <w:rPr>
          <w:rFonts w:eastAsia="Arial"/>
        </w:rPr>
        <w:t xml:space="preserve">Website: </w:t>
      </w:r>
      <w:hyperlink r:id="rId7" w:history="1">
        <w:r w:rsidR="00BB4482" w:rsidRPr="00762761">
          <w:rPr>
            <w:rStyle w:val="Hyperlink"/>
          </w:rPr>
          <w:t>https://www.rationalreasoning.net/precalculus/#</w:t>
        </w:r>
      </w:hyperlink>
      <w:r w:rsidR="0004507F">
        <w:br/>
      </w:r>
      <w:r w:rsidR="0004507F">
        <w:br/>
      </w:r>
      <w:r w:rsidR="0004507F" w:rsidRPr="00523F81">
        <w:rPr>
          <w:u w:val="single"/>
        </w:rPr>
        <w:t>FOR ONLINE HOMEWORK:</w:t>
      </w:r>
    </w:p>
    <w:p w14:paraId="3A9F54DD" w14:textId="77777777" w:rsidR="00BB4482" w:rsidRDefault="00BB4482" w:rsidP="00BB4482">
      <w:pPr>
        <w:numPr>
          <w:ilvl w:val="0"/>
          <w:numId w:val="1"/>
        </w:numPr>
        <w:tabs>
          <w:tab w:val="left" w:pos="1440"/>
        </w:tabs>
        <w:ind w:hanging="360"/>
      </w:pPr>
      <w:r>
        <w:t xml:space="preserve">Course ID- 427              </w:t>
      </w:r>
    </w:p>
    <w:p w14:paraId="610280A7" w14:textId="7E4BBD05" w:rsidR="00BB4482" w:rsidRPr="00263CA5" w:rsidRDefault="00BB4482" w:rsidP="00BB4482">
      <w:pPr>
        <w:numPr>
          <w:ilvl w:val="0"/>
          <w:numId w:val="1"/>
        </w:numPr>
        <w:tabs>
          <w:tab w:val="left" w:pos="1440"/>
        </w:tabs>
        <w:ind w:hanging="360"/>
      </w:pPr>
      <w:r>
        <w:t xml:space="preserve">Enrollment Key- </w:t>
      </w:r>
      <w:r w:rsidRPr="00BB4482">
        <w:t>HamdehMath111Fall2017</w:t>
      </w:r>
      <w:bookmarkStart w:id="0" w:name="_GoBack"/>
      <w:bookmarkEnd w:id="0"/>
    </w:p>
    <w:p w14:paraId="0FD203D5" w14:textId="77777777" w:rsidR="00D4067F" w:rsidRPr="00263CA5" w:rsidRDefault="00D4067F">
      <w:pPr>
        <w:tabs>
          <w:tab w:val="left" w:pos="720"/>
          <w:tab w:val="left" w:pos="1440"/>
        </w:tabs>
      </w:pPr>
    </w:p>
    <w:p w14:paraId="06E9CF1C" w14:textId="77777777" w:rsidR="00D4067F" w:rsidRPr="00263CA5" w:rsidRDefault="00A26F3C">
      <w:pPr>
        <w:tabs>
          <w:tab w:val="left" w:pos="720"/>
          <w:tab w:val="left" w:pos="1440"/>
        </w:tabs>
      </w:pPr>
      <w:r w:rsidRPr="00263CA5">
        <w:rPr>
          <w:rFonts w:eastAsia="Arial"/>
          <w:b/>
        </w:rPr>
        <w:t xml:space="preserve">Instructor: </w:t>
      </w:r>
    </w:p>
    <w:p w14:paraId="6EAD69F9" w14:textId="27ACC373" w:rsidR="00D4067F" w:rsidRPr="00263CA5" w:rsidRDefault="00A26F3C" w:rsidP="00BB4482">
      <w:pPr>
        <w:numPr>
          <w:ilvl w:val="0"/>
          <w:numId w:val="5"/>
        </w:numPr>
        <w:tabs>
          <w:tab w:val="left" w:pos="1440"/>
        </w:tabs>
        <w:ind w:hanging="360"/>
      </w:pPr>
      <w:r w:rsidRPr="00263CA5">
        <w:rPr>
          <w:rFonts w:eastAsia="Arial"/>
        </w:rPr>
        <w:t xml:space="preserve">Office: </w:t>
      </w:r>
      <w:r w:rsidR="00BB4482">
        <w:rPr>
          <w:rFonts w:eastAsia="Arial"/>
        </w:rPr>
        <w:t>RI 102</w:t>
      </w:r>
    </w:p>
    <w:p w14:paraId="0DC77537" w14:textId="40089106" w:rsidR="00D4067F" w:rsidRPr="00263CA5" w:rsidRDefault="00A26F3C">
      <w:pPr>
        <w:numPr>
          <w:ilvl w:val="0"/>
          <w:numId w:val="5"/>
        </w:numPr>
        <w:tabs>
          <w:tab w:val="left" w:pos="1440"/>
        </w:tabs>
        <w:ind w:hanging="360"/>
      </w:pPr>
      <w:r w:rsidRPr="00263CA5">
        <w:rPr>
          <w:rFonts w:eastAsia="Arial"/>
        </w:rPr>
        <w:t xml:space="preserve">Email: </w:t>
      </w:r>
      <w:r w:rsidR="00BB4482">
        <w:rPr>
          <w:rFonts w:eastAsia="Arial"/>
        </w:rPr>
        <w:t>hamdehm@montclair.edu</w:t>
      </w:r>
      <w:r w:rsidRPr="00263CA5">
        <w:rPr>
          <w:rFonts w:eastAsia="Arial"/>
        </w:rPr>
        <w:tab/>
      </w:r>
    </w:p>
    <w:p w14:paraId="37E866EB" w14:textId="273EBB42" w:rsidR="00D4067F" w:rsidRPr="00A31814" w:rsidRDefault="00A26F3C">
      <w:pPr>
        <w:numPr>
          <w:ilvl w:val="0"/>
          <w:numId w:val="5"/>
        </w:numPr>
        <w:tabs>
          <w:tab w:val="left" w:pos="1440"/>
        </w:tabs>
        <w:ind w:hanging="360"/>
      </w:pPr>
      <w:r w:rsidRPr="00263CA5">
        <w:rPr>
          <w:rFonts w:eastAsia="Arial"/>
        </w:rPr>
        <w:t>Office Hours:</w:t>
      </w:r>
      <w:r w:rsidR="004F24CB">
        <w:rPr>
          <w:rFonts w:eastAsia="Arial"/>
        </w:rPr>
        <w:t xml:space="preserve"> </w:t>
      </w:r>
      <w:r w:rsidR="00BB4482">
        <w:rPr>
          <w:rFonts w:eastAsia="Arial"/>
        </w:rPr>
        <w:t>7:10-7:40 pm on Tuesdays and Thursdays</w:t>
      </w:r>
    </w:p>
    <w:p w14:paraId="5BB930B5" w14:textId="77777777" w:rsidR="00A31814" w:rsidRDefault="00A31814" w:rsidP="00A31814">
      <w:pPr>
        <w:tabs>
          <w:tab w:val="left" w:pos="1440"/>
        </w:tabs>
        <w:rPr>
          <w:rFonts w:eastAsia="Arial"/>
        </w:rPr>
      </w:pPr>
    </w:p>
    <w:p w14:paraId="7B95DF42" w14:textId="77777777" w:rsidR="0056417F" w:rsidRDefault="0056417F" w:rsidP="00A31814">
      <w:pPr>
        <w:tabs>
          <w:tab w:val="left" w:pos="1440"/>
        </w:tabs>
        <w:rPr>
          <w:rFonts w:eastAsia="Arial"/>
        </w:rPr>
      </w:pPr>
    </w:p>
    <w:p w14:paraId="2642698C" w14:textId="77777777" w:rsidR="0056417F" w:rsidRPr="00263CA5" w:rsidRDefault="0056417F" w:rsidP="0056417F">
      <w:r w:rsidRPr="00263CA5">
        <w:rPr>
          <w:rFonts w:eastAsia="Arial"/>
          <w:b/>
        </w:rPr>
        <w:t>Prerequisites:</w:t>
      </w:r>
      <w:r w:rsidRPr="00263CA5">
        <w:rPr>
          <w:rFonts w:eastAsia="Arial"/>
        </w:rPr>
        <w:t xml:space="preserve"> MATH 100 or placement through the Montclair State University Placement Test (MSUPT) or a satisfactory score on departmen</w:t>
      </w:r>
      <w:r>
        <w:rPr>
          <w:rFonts w:eastAsia="Arial"/>
        </w:rPr>
        <w:t xml:space="preserve">t's </w:t>
      </w:r>
      <w:proofErr w:type="spellStart"/>
      <w:r>
        <w:rPr>
          <w:rFonts w:eastAsia="Arial"/>
        </w:rPr>
        <w:t>Precalculus</w:t>
      </w:r>
      <w:proofErr w:type="spellEnd"/>
      <w:r>
        <w:rPr>
          <w:rFonts w:eastAsia="Arial"/>
        </w:rPr>
        <w:t xml:space="preserve"> Readiness Test.</w:t>
      </w:r>
    </w:p>
    <w:p w14:paraId="5CD7DCD9" w14:textId="77777777" w:rsidR="0056417F" w:rsidRDefault="0056417F" w:rsidP="0056417F"/>
    <w:p w14:paraId="3FA2D6B2" w14:textId="77777777" w:rsidR="0056417F" w:rsidRPr="00263CA5" w:rsidRDefault="0056417F" w:rsidP="0056417F"/>
    <w:p w14:paraId="60406B7D" w14:textId="77777777" w:rsidR="0056417F" w:rsidRDefault="0056417F" w:rsidP="0056417F">
      <w:pPr>
        <w:rPr>
          <w:rFonts w:eastAsia="Arial"/>
        </w:rPr>
      </w:pPr>
      <w:r w:rsidRPr="00263CA5">
        <w:rPr>
          <w:rFonts w:eastAsia="Arial"/>
          <w:b/>
        </w:rPr>
        <w:t>Course Objectives:</w:t>
      </w:r>
      <w:r w:rsidRPr="00263CA5">
        <w:rPr>
          <w:rFonts w:eastAsia="Arial"/>
        </w:rPr>
        <w:t xml:space="preserve"> The main objective of this course is to provide </w:t>
      </w:r>
      <w:r>
        <w:rPr>
          <w:rFonts w:eastAsia="Arial"/>
        </w:rPr>
        <w:t>you</w:t>
      </w:r>
      <w:r w:rsidRPr="00263CA5">
        <w:rPr>
          <w:rFonts w:eastAsia="Arial"/>
        </w:rPr>
        <w:t xml:space="preserve"> with firm mathematical foundation for calculus. Part of that goal is to introduce </w:t>
      </w:r>
      <w:r>
        <w:rPr>
          <w:rFonts w:eastAsia="Arial"/>
        </w:rPr>
        <w:t>you</w:t>
      </w:r>
      <w:r w:rsidRPr="00263CA5">
        <w:rPr>
          <w:rFonts w:eastAsia="Arial"/>
        </w:rPr>
        <w:t xml:space="preserve"> to the mathematical thinking and logic through challenging and real-world problems and homework. Topics include functions and their graphs, including polynomial, rational, exponential, logarithmic and trigonometric functions, as well as equations and their applications. </w:t>
      </w:r>
    </w:p>
    <w:p w14:paraId="22688183" w14:textId="77777777" w:rsidR="0056417F" w:rsidRDefault="0056417F" w:rsidP="0056417F">
      <w:pPr>
        <w:rPr>
          <w:rFonts w:eastAsia="Arial"/>
        </w:rPr>
      </w:pPr>
    </w:p>
    <w:p w14:paraId="65133DE8" w14:textId="77777777" w:rsidR="0056417F" w:rsidRDefault="0056417F" w:rsidP="0056417F">
      <w:pPr>
        <w:rPr>
          <w:rFonts w:eastAsia="Arial"/>
        </w:rPr>
      </w:pPr>
    </w:p>
    <w:p w14:paraId="1E3D5609" w14:textId="77777777" w:rsidR="0056417F" w:rsidRPr="00A428D2" w:rsidRDefault="0056417F" w:rsidP="0056417F">
      <w:pPr>
        <w:rPr>
          <w:rFonts w:eastAsia="Arial"/>
        </w:rPr>
      </w:pPr>
      <w:r>
        <w:rPr>
          <w:rFonts w:eastAsia="Arial"/>
          <w:b/>
        </w:rPr>
        <w:t xml:space="preserve">Calculators: </w:t>
      </w:r>
      <w:r>
        <w:rPr>
          <w:rFonts w:eastAsia="Arial"/>
        </w:rPr>
        <w:t xml:space="preserve">The use of calculators is allowed, but </w:t>
      </w:r>
      <w:r w:rsidRPr="00A428D2">
        <w:rPr>
          <w:rFonts w:eastAsia="Arial"/>
        </w:rPr>
        <w:t>only calculators that are NOT enabled with a CAS (computer algebra system) may be used.</w:t>
      </w:r>
      <w:r>
        <w:rPr>
          <w:rFonts w:eastAsia="Arial"/>
        </w:rPr>
        <w:t xml:space="preserve"> </w:t>
      </w:r>
      <w:r w:rsidRPr="00A428D2">
        <w:rPr>
          <w:rFonts w:eastAsia="Arial"/>
        </w:rPr>
        <w:t>Examples of allowable calculators include the following: TI-83 series, TI-84 series, TI-</w:t>
      </w:r>
      <w:proofErr w:type="spellStart"/>
      <w:r w:rsidRPr="00A428D2">
        <w:rPr>
          <w:rFonts w:eastAsia="Arial"/>
        </w:rPr>
        <w:t>Nspire</w:t>
      </w:r>
      <w:proofErr w:type="spellEnd"/>
      <w:r w:rsidRPr="00A428D2">
        <w:rPr>
          <w:rFonts w:eastAsia="Arial"/>
        </w:rPr>
        <w:t xml:space="preserve"> (non-CAS), Casio 9860, HP-39G.</w:t>
      </w:r>
    </w:p>
    <w:p w14:paraId="321A49C6" w14:textId="77777777" w:rsidR="0056417F" w:rsidRDefault="0056417F" w:rsidP="0056417F">
      <w:pPr>
        <w:rPr>
          <w:rFonts w:eastAsia="Arial"/>
        </w:rPr>
      </w:pPr>
    </w:p>
    <w:p w14:paraId="358CF4BE" w14:textId="77777777" w:rsidR="0056417F" w:rsidRPr="003B6855" w:rsidRDefault="0056417F" w:rsidP="0056417F">
      <w:pPr>
        <w:rPr>
          <w:rFonts w:eastAsia="Arial"/>
        </w:rPr>
      </w:pPr>
      <w:r w:rsidRPr="00A428D2">
        <w:rPr>
          <w:rFonts w:eastAsia="Arial"/>
        </w:rPr>
        <w:t>Examples of prohibited calculators include the following: TI-</w:t>
      </w:r>
      <w:proofErr w:type="spellStart"/>
      <w:r w:rsidRPr="00A428D2">
        <w:rPr>
          <w:rFonts w:eastAsia="Arial"/>
        </w:rPr>
        <w:t>Nspire</w:t>
      </w:r>
      <w:proofErr w:type="spellEnd"/>
      <w:r w:rsidRPr="00A428D2">
        <w:rPr>
          <w:rFonts w:eastAsia="Arial"/>
        </w:rPr>
        <w:t xml:space="preserve"> (CAS), TI-89 series, TI-92 series, HP Prime, HP 48GII, HP-40G, HP-49G, HP-50G, Casio fx-CP400 (</w:t>
      </w:r>
      <w:proofErr w:type="spellStart"/>
      <w:r w:rsidRPr="00A428D2">
        <w:rPr>
          <w:rFonts w:eastAsia="Arial"/>
        </w:rPr>
        <w:t>ClassPad</w:t>
      </w:r>
      <w:proofErr w:type="spellEnd"/>
      <w:r w:rsidRPr="00A428D2">
        <w:rPr>
          <w:rFonts w:eastAsia="Arial"/>
        </w:rPr>
        <w:t xml:space="preserve"> 400), Casio </w:t>
      </w:r>
      <w:proofErr w:type="spellStart"/>
      <w:r w:rsidRPr="00A428D2">
        <w:rPr>
          <w:rFonts w:eastAsia="Arial"/>
        </w:rPr>
        <w:t>ClassPad</w:t>
      </w:r>
      <w:proofErr w:type="spellEnd"/>
      <w:r w:rsidRPr="00A428D2">
        <w:rPr>
          <w:rFonts w:eastAsia="Arial"/>
        </w:rPr>
        <w:t xml:space="preserve"> 300, Casio </w:t>
      </w:r>
      <w:proofErr w:type="spellStart"/>
      <w:r w:rsidRPr="00A428D2">
        <w:rPr>
          <w:rFonts w:eastAsia="Arial"/>
        </w:rPr>
        <w:t>ClassPad</w:t>
      </w:r>
      <w:proofErr w:type="spellEnd"/>
      <w:r w:rsidRPr="00A428D2">
        <w:rPr>
          <w:rFonts w:eastAsia="Arial"/>
        </w:rPr>
        <w:t xml:space="preserve"> 330, Casio Algebra </w:t>
      </w:r>
      <w:proofErr w:type="spellStart"/>
      <w:r w:rsidRPr="00A428D2">
        <w:rPr>
          <w:rFonts w:eastAsia="Arial"/>
        </w:rPr>
        <w:t>fx</w:t>
      </w:r>
      <w:proofErr w:type="spellEnd"/>
      <w:r w:rsidRPr="00A428D2">
        <w:rPr>
          <w:rFonts w:eastAsia="Arial"/>
        </w:rPr>
        <w:t xml:space="preserve"> 2.0, Casio CFX-9970G series. Also prohibited are handheld, tablet, and laptop computers, and calculators built into cell phones.</w:t>
      </w:r>
    </w:p>
    <w:p w14:paraId="0B2F0794" w14:textId="77777777" w:rsidR="0056417F" w:rsidRDefault="0056417F" w:rsidP="00A31814">
      <w:pPr>
        <w:tabs>
          <w:tab w:val="left" w:pos="1440"/>
        </w:tabs>
        <w:rPr>
          <w:rFonts w:eastAsia="Arial"/>
          <w:b/>
        </w:rPr>
      </w:pPr>
    </w:p>
    <w:p w14:paraId="24932CC8" w14:textId="77777777" w:rsidR="0056417F" w:rsidRDefault="0056417F">
      <w:pPr>
        <w:rPr>
          <w:rFonts w:eastAsia="Arial"/>
          <w:b/>
        </w:rPr>
      </w:pPr>
      <w:r>
        <w:rPr>
          <w:rFonts w:eastAsia="Arial"/>
          <w:b/>
        </w:rPr>
        <w:br w:type="page"/>
      </w:r>
    </w:p>
    <w:p w14:paraId="00211647" w14:textId="46FD7736" w:rsidR="00283574" w:rsidRDefault="004F24CB" w:rsidP="00BC7E72">
      <w:pPr>
        <w:tabs>
          <w:tab w:val="left" w:pos="1440"/>
        </w:tabs>
      </w:pPr>
      <w:proofErr w:type="spellStart"/>
      <w:r>
        <w:rPr>
          <w:rFonts w:eastAsia="Arial"/>
          <w:b/>
        </w:rPr>
        <w:lastRenderedPageBreak/>
        <w:t>Precalculus</w:t>
      </w:r>
      <w:proofErr w:type="spellEnd"/>
      <w:r>
        <w:rPr>
          <w:rFonts w:eastAsia="Arial"/>
          <w:b/>
        </w:rPr>
        <w:t xml:space="preserve"> Tutor</w:t>
      </w:r>
      <w:r w:rsidR="0056417F">
        <w:rPr>
          <w:rFonts w:eastAsia="Arial"/>
          <w:b/>
        </w:rPr>
        <w:t>ing</w:t>
      </w:r>
      <w:r w:rsidR="00A31814" w:rsidRPr="00A31814">
        <w:rPr>
          <w:rFonts w:eastAsia="Arial"/>
          <w:b/>
        </w:rPr>
        <w:t>:</w:t>
      </w:r>
      <w:r w:rsidR="00BC7E72">
        <w:t xml:space="preserve"> You have two options for tutoring beyond your instructor’s office hours.</w:t>
      </w:r>
    </w:p>
    <w:p w14:paraId="04D31F93" w14:textId="77777777" w:rsidR="00BC7E72" w:rsidRDefault="00BC7E72" w:rsidP="00BC7E72">
      <w:pPr>
        <w:tabs>
          <w:tab w:val="left" w:pos="1440"/>
        </w:tabs>
      </w:pPr>
    </w:p>
    <w:p w14:paraId="70DBCC00" w14:textId="05E5FA24" w:rsidR="00283574" w:rsidRDefault="00283574" w:rsidP="00283574">
      <w:pPr>
        <w:autoSpaceDE w:val="0"/>
        <w:autoSpaceDN w:val="0"/>
        <w:adjustRightInd w:val="0"/>
      </w:pPr>
      <w:r w:rsidRPr="00263CA5">
        <w:t xml:space="preserve">Academic mentoring, tutoring, and disability resources are available to Montclair students. Please visit the </w:t>
      </w:r>
      <w:hyperlink r:id="rId8" w:anchor="https://www.montclair.edu/student-development-campus-life/academic-success-center/" w:history="1">
        <w:r w:rsidRPr="006754AD">
          <w:rPr>
            <w:rStyle w:val="Hyperlink"/>
          </w:rPr>
          <w:t>Academic Success Center (ASC)</w:t>
        </w:r>
      </w:hyperlink>
      <w:r w:rsidRPr="00283574">
        <w:rPr>
          <w:color w:val="0000FF"/>
        </w:rPr>
        <w:t xml:space="preserve"> </w:t>
      </w:r>
      <w:r w:rsidRPr="00263CA5">
        <w:t>for more information.</w:t>
      </w:r>
    </w:p>
    <w:p w14:paraId="6D19D258" w14:textId="423AC0A6" w:rsidR="00283574" w:rsidRDefault="00283574" w:rsidP="00283574">
      <w:pPr>
        <w:pStyle w:val="ListParagraph"/>
        <w:numPr>
          <w:ilvl w:val="0"/>
          <w:numId w:val="8"/>
        </w:numPr>
        <w:tabs>
          <w:tab w:val="left" w:pos="1440"/>
        </w:tabs>
      </w:pPr>
      <w:r w:rsidRPr="00283574">
        <w:t>Offices Location: Webster Hall, Rooms 301, 302, 303 </w:t>
      </w:r>
      <w:r w:rsidRPr="00283574">
        <w:br/>
        <w:t>Tutoring: Webster Hall, Room 300A</w:t>
      </w:r>
      <w:r w:rsidRPr="00283574">
        <w:br/>
        <w:t>Telephone: (97</w:t>
      </w:r>
      <w:r w:rsidR="006754AD">
        <w:t>3) 655-5425</w:t>
      </w:r>
      <w:r w:rsidRPr="00283574">
        <w:br/>
      </w:r>
      <w:hyperlink r:id="rId9" w:history="1">
        <w:r w:rsidRPr="00283574">
          <w:rPr>
            <w:rStyle w:val="Hyperlink"/>
          </w:rPr>
          <w:t>asc@mail.montclair.edu</w:t>
        </w:r>
      </w:hyperlink>
    </w:p>
    <w:p w14:paraId="46C7C36B" w14:textId="3AEC6DBD" w:rsidR="00283574" w:rsidRDefault="00283574" w:rsidP="0056417F">
      <w:pPr>
        <w:pStyle w:val="ListParagraph"/>
        <w:numPr>
          <w:ilvl w:val="0"/>
          <w:numId w:val="8"/>
        </w:numPr>
        <w:tabs>
          <w:tab w:val="left" w:pos="1440"/>
        </w:tabs>
      </w:pPr>
      <w:r w:rsidRPr="00283574">
        <w:t xml:space="preserve">Fall </w:t>
      </w:r>
      <w:r>
        <w:t>Hours</w:t>
      </w:r>
      <w:r w:rsidR="0056417F">
        <w:t xml:space="preserve">: Mon &amp; </w:t>
      </w:r>
      <w:proofErr w:type="spellStart"/>
      <w:r w:rsidR="0056417F">
        <w:t>Thur</w:t>
      </w:r>
      <w:proofErr w:type="spellEnd"/>
      <w:r>
        <w:t xml:space="preserve"> 8:30AM to 6:00PM</w:t>
      </w:r>
      <w:r w:rsidR="0056417F">
        <w:t xml:space="preserve">; </w:t>
      </w:r>
      <w:r w:rsidRPr="00283574">
        <w:t>T</w:t>
      </w:r>
      <w:r w:rsidR="0056417F">
        <w:t>ues, Wed &amp; Fri</w:t>
      </w:r>
      <w:r>
        <w:t xml:space="preserve"> 8:30AM to 4:30PM</w:t>
      </w:r>
    </w:p>
    <w:p w14:paraId="158BFFBC" w14:textId="77777777" w:rsidR="00547969" w:rsidRDefault="00547969" w:rsidP="00547969">
      <w:pPr>
        <w:tabs>
          <w:tab w:val="left" w:pos="1440"/>
        </w:tabs>
        <w:rPr>
          <w:rStyle w:val="gi"/>
        </w:rPr>
      </w:pPr>
    </w:p>
    <w:p w14:paraId="0B9705AE" w14:textId="2C2C5E23" w:rsidR="00547969" w:rsidRDefault="00547969" w:rsidP="00547969">
      <w:pPr>
        <w:tabs>
          <w:tab w:val="left" w:pos="1440"/>
        </w:tabs>
        <w:rPr>
          <w:rStyle w:val="gi"/>
        </w:rPr>
      </w:pPr>
      <w:r>
        <w:rPr>
          <w:rStyle w:val="gi"/>
        </w:rPr>
        <w:t xml:space="preserve">We also have tutoring available in the mathematics department. The Mathematics </w:t>
      </w:r>
      <w:r w:rsidR="006754AD">
        <w:rPr>
          <w:rStyle w:val="gi"/>
        </w:rPr>
        <w:t>Support</w:t>
      </w:r>
      <w:r>
        <w:rPr>
          <w:rStyle w:val="gi"/>
        </w:rPr>
        <w:t xml:space="preserve"> Center </w:t>
      </w:r>
      <w:r w:rsidR="006754AD">
        <w:rPr>
          <w:rStyle w:val="gi"/>
        </w:rPr>
        <w:t xml:space="preserve">(MSC) </w:t>
      </w:r>
      <w:r>
        <w:rPr>
          <w:rStyle w:val="gi"/>
        </w:rPr>
        <w:t xml:space="preserve">is run by faculty and mathematics students, and this will be where the </w:t>
      </w:r>
      <w:proofErr w:type="spellStart"/>
      <w:r>
        <w:rPr>
          <w:rStyle w:val="gi"/>
        </w:rPr>
        <w:t>precalculus</w:t>
      </w:r>
      <w:proofErr w:type="spellEnd"/>
      <w:r>
        <w:rPr>
          <w:rStyle w:val="gi"/>
        </w:rPr>
        <w:t xml:space="preserve"> tutor(s) will be located.</w:t>
      </w:r>
    </w:p>
    <w:p w14:paraId="051393DE" w14:textId="77777777" w:rsidR="006754AD" w:rsidRPr="006754AD" w:rsidRDefault="006754AD" w:rsidP="006754AD">
      <w:pPr>
        <w:pStyle w:val="ListParagraph"/>
        <w:numPr>
          <w:ilvl w:val="0"/>
          <w:numId w:val="8"/>
        </w:numPr>
        <w:tabs>
          <w:tab w:val="left" w:pos="1440"/>
        </w:tabs>
      </w:pPr>
      <w:r w:rsidRPr="006754AD">
        <w:t>Location: RI-224A</w:t>
      </w:r>
    </w:p>
    <w:p w14:paraId="5B1C66FE" w14:textId="77777777" w:rsidR="006754AD" w:rsidRPr="006754AD" w:rsidRDefault="006754AD" w:rsidP="006754AD">
      <w:pPr>
        <w:pStyle w:val="ListParagraph"/>
        <w:numPr>
          <w:ilvl w:val="0"/>
          <w:numId w:val="8"/>
        </w:numPr>
        <w:tabs>
          <w:tab w:val="left" w:pos="1440"/>
        </w:tabs>
      </w:pPr>
      <w:r w:rsidRPr="006754AD">
        <w:t>Schedule: Will be announced the second week of classes, but the plan is to have the support center running at least Monday through Thursday from 10 am to 5 pm.</w:t>
      </w:r>
    </w:p>
    <w:p w14:paraId="40605BD4" w14:textId="3E2D4B1B" w:rsidR="00547969" w:rsidRPr="00283574" w:rsidRDefault="006754AD" w:rsidP="006754AD">
      <w:pPr>
        <w:pStyle w:val="ListParagraph"/>
        <w:numPr>
          <w:ilvl w:val="0"/>
          <w:numId w:val="8"/>
        </w:numPr>
        <w:tabs>
          <w:tab w:val="left" w:pos="1440"/>
        </w:tabs>
        <w:rPr>
          <w:rStyle w:val="gi"/>
        </w:rPr>
      </w:pPr>
      <w:r w:rsidRPr="006754AD">
        <w:t>Tutors: There will be Supplemental Instruction (SI) leaders assigned to specific courses. They will attend their assigned courses to</w:t>
      </w:r>
      <w:r>
        <w:t xml:space="preserve"> be able to help students</w:t>
      </w:r>
      <w:r w:rsidRPr="006754AD">
        <w:t>. In addition to SI leaders, some faculty members will hold their office hours in the MSC.</w:t>
      </w:r>
    </w:p>
    <w:p w14:paraId="469D97BB" w14:textId="77777777" w:rsidR="00D4067F" w:rsidRDefault="00D4067F"/>
    <w:p w14:paraId="326EEC6C" w14:textId="77777777" w:rsidR="00BC7E72" w:rsidRPr="00263CA5" w:rsidRDefault="00BC7E72"/>
    <w:p w14:paraId="438E95CD" w14:textId="6F635FAB" w:rsidR="0056417F" w:rsidRPr="00263CA5" w:rsidRDefault="003A6983" w:rsidP="0056417F">
      <w:r w:rsidRPr="003A6983">
        <w:rPr>
          <w:rFonts w:eastAsia="Arial"/>
          <w:b/>
        </w:rPr>
        <w:t>Attendance, in-class participation and teamwork</w:t>
      </w:r>
      <w:r w:rsidR="00A26F3C" w:rsidRPr="00263CA5">
        <w:rPr>
          <w:rFonts w:eastAsia="Arial"/>
          <w:b/>
        </w:rPr>
        <w:t xml:space="preserve">: </w:t>
      </w:r>
      <w:r w:rsidR="00A26F3C" w:rsidRPr="00263CA5">
        <w:rPr>
          <w:rFonts w:eastAsia="Arial"/>
        </w:rPr>
        <w:t>A</w:t>
      </w:r>
      <w:r w:rsidR="002B0401" w:rsidRPr="00263CA5">
        <w:rPr>
          <w:rFonts w:eastAsia="Arial"/>
        </w:rPr>
        <w:t>ttendance is mandatory</w:t>
      </w:r>
      <w:r w:rsidR="00EF5760">
        <w:rPr>
          <w:rFonts w:eastAsia="Arial"/>
        </w:rPr>
        <w:t xml:space="preserve"> and</w:t>
      </w:r>
      <w:r w:rsidR="00A26F3C" w:rsidRPr="00263CA5">
        <w:rPr>
          <w:rFonts w:eastAsia="Arial"/>
        </w:rPr>
        <w:t xml:space="preserve"> </w:t>
      </w:r>
      <w:r w:rsidR="002B0401" w:rsidRPr="00263CA5">
        <w:rPr>
          <w:rFonts w:eastAsia="Arial"/>
        </w:rPr>
        <w:t xml:space="preserve">your </w:t>
      </w:r>
      <w:r w:rsidR="00A26F3C" w:rsidRPr="00263CA5">
        <w:rPr>
          <w:rFonts w:eastAsia="Arial"/>
        </w:rPr>
        <w:t>participation in class and team</w:t>
      </w:r>
      <w:r w:rsidR="002B0401" w:rsidRPr="00263CA5">
        <w:rPr>
          <w:rFonts w:eastAsia="Arial"/>
        </w:rPr>
        <w:t xml:space="preserve">work </w:t>
      </w:r>
      <w:r w:rsidR="00A26F3C" w:rsidRPr="00263CA5">
        <w:rPr>
          <w:rFonts w:eastAsia="Arial"/>
        </w:rPr>
        <w:t>is part of the final grade.</w:t>
      </w:r>
      <w:r w:rsidR="0056417F">
        <w:t xml:space="preserve"> </w:t>
      </w:r>
      <w:r w:rsidR="0056417F" w:rsidRPr="0056417F">
        <w:rPr>
          <w:rFonts w:eastAsia="Arial"/>
        </w:rPr>
        <w:t xml:space="preserve">You are encouraged to work together on homework assignments and </w:t>
      </w:r>
      <w:r w:rsidR="0056417F">
        <w:rPr>
          <w:rFonts w:eastAsia="Arial"/>
        </w:rPr>
        <w:t xml:space="preserve">to </w:t>
      </w:r>
      <w:r w:rsidR="0056417F" w:rsidRPr="0056417F">
        <w:rPr>
          <w:rFonts w:eastAsia="Arial"/>
        </w:rPr>
        <w:t xml:space="preserve">study for exams. However, when time comes to write up the solutions, you are expected to do it on your own. The best practice is to put aside the notes from the discussions with other classmates and to write up the solutions entirely from scratch. </w:t>
      </w:r>
    </w:p>
    <w:p w14:paraId="3CCA9A4F" w14:textId="77777777" w:rsidR="0056417F" w:rsidRDefault="0056417F" w:rsidP="003A6983">
      <w:pPr>
        <w:rPr>
          <w:rFonts w:eastAsia="Arial"/>
          <w:b/>
        </w:rPr>
      </w:pPr>
    </w:p>
    <w:p w14:paraId="6470B08B" w14:textId="77777777" w:rsidR="00BC7E72" w:rsidRDefault="00BC7E72" w:rsidP="003A6983">
      <w:pPr>
        <w:rPr>
          <w:rFonts w:eastAsia="Arial"/>
          <w:b/>
        </w:rPr>
      </w:pPr>
    </w:p>
    <w:p w14:paraId="19BD50CF" w14:textId="371F6389" w:rsidR="003A6983" w:rsidRPr="003A6983" w:rsidRDefault="003A6983" w:rsidP="003A6983">
      <w:pPr>
        <w:rPr>
          <w:rFonts w:eastAsia="Arial"/>
        </w:rPr>
      </w:pPr>
      <w:r>
        <w:rPr>
          <w:rFonts w:eastAsia="Arial"/>
          <w:b/>
        </w:rPr>
        <w:t>Homework</w:t>
      </w:r>
      <w:r w:rsidR="00A26F3C" w:rsidRPr="00263CA5">
        <w:rPr>
          <w:rFonts w:eastAsia="Arial"/>
          <w:b/>
        </w:rPr>
        <w:t>:</w:t>
      </w:r>
      <w:r w:rsidR="00A26F3C" w:rsidRPr="00263CA5">
        <w:rPr>
          <w:rFonts w:eastAsia="Arial"/>
        </w:rPr>
        <w:t xml:space="preserve"> Homework will be a</w:t>
      </w:r>
      <w:r w:rsidR="002B0401" w:rsidRPr="00263CA5">
        <w:rPr>
          <w:rFonts w:eastAsia="Arial"/>
        </w:rPr>
        <w:t xml:space="preserve">ssigned on a weekly basis using </w:t>
      </w:r>
      <w:proofErr w:type="spellStart"/>
      <w:r w:rsidRPr="003A6983">
        <w:rPr>
          <w:rFonts w:eastAsia="Arial"/>
        </w:rPr>
        <w:t>IMathAS</w:t>
      </w:r>
      <w:proofErr w:type="spellEnd"/>
      <w:r w:rsidR="00A26F3C" w:rsidRPr="00263CA5">
        <w:rPr>
          <w:rFonts w:eastAsia="Arial"/>
        </w:rPr>
        <w:t xml:space="preserve">. </w:t>
      </w:r>
      <w:r w:rsidRPr="003A6983">
        <w:rPr>
          <w:rFonts w:eastAsia="Arial"/>
        </w:rPr>
        <w:t xml:space="preserve">Here is how </w:t>
      </w:r>
      <w:r w:rsidR="00FA01C7">
        <w:rPr>
          <w:rFonts w:eastAsia="Arial"/>
        </w:rPr>
        <w:t>to</w:t>
      </w:r>
      <w:r w:rsidRPr="003A6983">
        <w:rPr>
          <w:rFonts w:eastAsia="Arial"/>
        </w:rPr>
        <w:t xml:space="preserve"> </w:t>
      </w:r>
      <w:r w:rsidR="00FA01C7">
        <w:rPr>
          <w:rFonts w:eastAsia="Arial"/>
        </w:rPr>
        <w:t>get</w:t>
      </w:r>
      <w:r w:rsidRPr="003A6983">
        <w:rPr>
          <w:rFonts w:eastAsia="Arial"/>
        </w:rPr>
        <w:t xml:space="preserve"> access to the online homework system:</w:t>
      </w:r>
    </w:p>
    <w:p w14:paraId="0ED1C2FC" w14:textId="1E2DB77F" w:rsidR="003A6983" w:rsidRPr="003A6983" w:rsidRDefault="00FA01C7" w:rsidP="003A6983">
      <w:pPr>
        <w:numPr>
          <w:ilvl w:val="0"/>
          <w:numId w:val="9"/>
        </w:numPr>
        <w:rPr>
          <w:rFonts w:eastAsia="Arial"/>
        </w:rPr>
      </w:pPr>
      <w:r>
        <w:rPr>
          <w:rFonts w:eastAsia="Arial"/>
        </w:rPr>
        <w:t>B</w:t>
      </w:r>
      <w:r w:rsidR="003A6983" w:rsidRPr="003A6983">
        <w:rPr>
          <w:rFonts w:eastAsia="Arial"/>
        </w:rPr>
        <w:t>uy a workbook, either from the bookstore or directly from </w:t>
      </w:r>
      <w:hyperlink r:id="rId10" w:tgtFrame="_blank" w:history="1">
        <w:r w:rsidR="003A6983" w:rsidRPr="003A6983">
          <w:rPr>
            <w:rStyle w:val="Hyperlink"/>
            <w:rFonts w:eastAsia="Arial"/>
          </w:rPr>
          <w:t>https://rationalreasoning.net/amember/signup.php</w:t>
        </w:r>
      </w:hyperlink>
      <w:r w:rsidR="003A6983" w:rsidRPr="003A6983">
        <w:rPr>
          <w:rFonts w:eastAsia="Arial"/>
        </w:rPr>
        <w:t>.</w:t>
      </w:r>
    </w:p>
    <w:p w14:paraId="2031F05A" w14:textId="75BAD280" w:rsidR="003A6983" w:rsidRPr="003A6983" w:rsidRDefault="00FA01C7" w:rsidP="003A6983">
      <w:pPr>
        <w:numPr>
          <w:ilvl w:val="0"/>
          <w:numId w:val="9"/>
        </w:numPr>
        <w:rPr>
          <w:rFonts w:eastAsia="Arial"/>
        </w:rPr>
      </w:pPr>
      <w:r>
        <w:rPr>
          <w:rFonts w:eastAsia="Arial"/>
        </w:rPr>
        <w:t>Your</w:t>
      </w:r>
      <w:r w:rsidR="003A6983" w:rsidRPr="003A6983">
        <w:rPr>
          <w:rFonts w:eastAsia="Arial"/>
        </w:rPr>
        <w:t xml:space="preserve"> workbook will come with online access to </w:t>
      </w:r>
      <w:hyperlink r:id="rId11" w:tgtFrame="_blank" w:history="1">
        <w:r w:rsidR="003A6983" w:rsidRPr="003A6983">
          <w:rPr>
            <w:rStyle w:val="Hyperlink"/>
            <w:rFonts w:eastAsia="Arial"/>
          </w:rPr>
          <w:t>rationalreasoning.net</w:t>
        </w:r>
      </w:hyperlink>
      <w:r w:rsidR="003A6983" w:rsidRPr="003A6983">
        <w:rPr>
          <w:rFonts w:eastAsia="Arial"/>
        </w:rPr>
        <w:t>. Books coming from bookstores have instructions (and an activation code)</w:t>
      </w:r>
      <w:r>
        <w:rPr>
          <w:rFonts w:eastAsia="Arial"/>
        </w:rPr>
        <w:t xml:space="preserve"> inside the front cover. If you order</w:t>
      </w:r>
      <w:r w:rsidR="003A6983" w:rsidRPr="003A6983">
        <w:rPr>
          <w:rFonts w:eastAsia="Arial"/>
        </w:rPr>
        <w:t xml:space="preserve"> the book directly from </w:t>
      </w:r>
      <w:hyperlink r:id="rId12" w:tgtFrame="_blank" w:history="1">
        <w:r w:rsidR="003A6983" w:rsidRPr="003A6983">
          <w:rPr>
            <w:rStyle w:val="Hyperlink"/>
            <w:rFonts w:eastAsia="Arial"/>
          </w:rPr>
          <w:t>rationalreasoning.net</w:t>
        </w:r>
      </w:hyperlink>
      <w:r w:rsidR="003A6983" w:rsidRPr="003A6983">
        <w:rPr>
          <w:rFonts w:eastAsia="Arial"/>
        </w:rPr>
        <w:t xml:space="preserve">, an online account will be created for </w:t>
      </w:r>
      <w:r>
        <w:rPr>
          <w:rFonts w:eastAsia="Arial"/>
        </w:rPr>
        <w:t>you</w:t>
      </w:r>
      <w:r w:rsidR="003A6983" w:rsidRPr="003A6983">
        <w:rPr>
          <w:rFonts w:eastAsia="Arial"/>
        </w:rPr>
        <w:t xml:space="preserve"> at the time of ordering the book</w:t>
      </w:r>
      <w:r>
        <w:rPr>
          <w:rFonts w:eastAsia="Arial"/>
        </w:rPr>
        <w:t xml:space="preserve"> for immediate access</w:t>
      </w:r>
      <w:r w:rsidR="003A6983" w:rsidRPr="003A6983">
        <w:rPr>
          <w:rFonts w:eastAsia="Arial"/>
        </w:rPr>
        <w:t>.</w:t>
      </w:r>
    </w:p>
    <w:p w14:paraId="36DE6604" w14:textId="7354C767" w:rsidR="003A6983" w:rsidRPr="003A6983" w:rsidRDefault="00FA01C7" w:rsidP="003A6983">
      <w:pPr>
        <w:numPr>
          <w:ilvl w:val="0"/>
          <w:numId w:val="9"/>
        </w:numPr>
        <w:rPr>
          <w:rFonts w:eastAsia="Arial"/>
        </w:rPr>
      </w:pPr>
      <w:r>
        <w:rPr>
          <w:rFonts w:eastAsia="Arial"/>
        </w:rPr>
        <w:t>When you create</w:t>
      </w:r>
      <w:r w:rsidR="003A6983" w:rsidRPr="003A6983">
        <w:rPr>
          <w:rFonts w:eastAsia="Arial"/>
        </w:rPr>
        <w:t xml:space="preserve"> an account at </w:t>
      </w:r>
      <w:hyperlink r:id="rId13" w:tgtFrame="_blank" w:history="1">
        <w:r w:rsidR="003A6983" w:rsidRPr="003A6983">
          <w:rPr>
            <w:rStyle w:val="Hyperlink"/>
            <w:rFonts w:eastAsia="Arial"/>
          </w:rPr>
          <w:t>rationalreasoning.net</w:t>
        </w:r>
      </w:hyperlink>
      <w:r w:rsidR="003A6983" w:rsidRPr="003A6983">
        <w:rPr>
          <w:rFonts w:eastAsia="Arial"/>
        </w:rPr>
        <w:t xml:space="preserve">, it will automatically create an account for </w:t>
      </w:r>
      <w:r>
        <w:rPr>
          <w:rFonts w:eastAsia="Arial"/>
        </w:rPr>
        <w:t>you</w:t>
      </w:r>
      <w:r w:rsidR="003A6983" w:rsidRPr="003A6983">
        <w:rPr>
          <w:rFonts w:eastAsia="Arial"/>
        </w:rPr>
        <w:t xml:space="preserve"> in </w:t>
      </w:r>
      <w:proofErr w:type="spellStart"/>
      <w:r w:rsidR="003A6983" w:rsidRPr="003A6983">
        <w:rPr>
          <w:rFonts w:eastAsia="Arial"/>
        </w:rPr>
        <w:t>IMathAS</w:t>
      </w:r>
      <w:proofErr w:type="spellEnd"/>
      <w:r w:rsidR="003A6983" w:rsidRPr="003A6983">
        <w:rPr>
          <w:rFonts w:eastAsia="Arial"/>
        </w:rPr>
        <w:t xml:space="preserve">, and </w:t>
      </w:r>
      <w:r>
        <w:rPr>
          <w:rFonts w:eastAsia="Arial"/>
        </w:rPr>
        <w:t>you</w:t>
      </w:r>
      <w:r w:rsidR="003A6983" w:rsidRPr="003A6983">
        <w:rPr>
          <w:rFonts w:eastAsia="Arial"/>
        </w:rPr>
        <w:t xml:space="preserve"> will have the same username/password fo</w:t>
      </w:r>
      <w:r>
        <w:rPr>
          <w:rFonts w:eastAsia="Arial"/>
        </w:rPr>
        <w:t xml:space="preserve">r both sites. At this time, you </w:t>
      </w:r>
      <w:r w:rsidR="003A6983" w:rsidRPr="003A6983">
        <w:rPr>
          <w:rFonts w:eastAsia="Arial"/>
        </w:rPr>
        <w:t>will have access to the online homework system.</w:t>
      </w:r>
    </w:p>
    <w:p w14:paraId="7F2F5057" w14:textId="77777777" w:rsidR="00631AD8" w:rsidRDefault="00631AD8">
      <w:pPr>
        <w:rPr>
          <w:rFonts w:eastAsia="Arial"/>
        </w:rPr>
      </w:pPr>
    </w:p>
    <w:p w14:paraId="52319F02" w14:textId="77777777" w:rsidR="00BC7E72" w:rsidRDefault="00BC7E72">
      <w:pPr>
        <w:rPr>
          <w:rFonts w:eastAsia="Arial"/>
        </w:rPr>
      </w:pPr>
    </w:p>
    <w:p w14:paraId="3C21AEAB" w14:textId="659F0CC7" w:rsidR="00D4067F" w:rsidRPr="006872F1" w:rsidRDefault="003A6983">
      <w:pPr>
        <w:rPr>
          <w:rFonts w:eastAsia="Arial"/>
        </w:rPr>
      </w:pPr>
      <w:r>
        <w:rPr>
          <w:rFonts w:eastAsia="Arial"/>
          <w:b/>
        </w:rPr>
        <w:t xml:space="preserve">Exams: </w:t>
      </w:r>
      <w:r w:rsidR="00D251BA">
        <w:rPr>
          <w:rFonts w:eastAsia="Arial"/>
        </w:rPr>
        <w:t>There will be two exams and a final this semester. Each exam will occur after 4-5 weeks of instruction and cover 2-3 modules. The final is cumulative. Dates for the exams will be announced in class.</w:t>
      </w:r>
    </w:p>
    <w:p w14:paraId="7336A0BF" w14:textId="77777777" w:rsidR="00D4067F" w:rsidRPr="00263CA5" w:rsidRDefault="00A26F3C">
      <w:r w:rsidRPr="00263CA5">
        <w:rPr>
          <w:rFonts w:eastAsia="Arial"/>
          <w:b/>
        </w:rPr>
        <w:lastRenderedPageBreak/>
        <w:t>Grading scale and policies:</w:t>
      </w:r>
      <w:r w:rsidRPr="00263CA5">
        <w:rPr>
          <w:rFonts w:eastAsia="Arial"/>
        </w:rPr>
        <w:t xml:space="preserve"> The weight of each component within the course grade is as follows:</w:t>
      </w:r>
    </w:p>
    <w:p w14:paraId="11C1BC4C" w14:textId="0D76FFE6" w:rsidR="00D4067F" w:rsidRPr="00263CA5" w:rsidRDefault="00AB6916">
      <w:pPr>
        <w:numPr>
          <w:ilvl w:val="0"/>
          <w:numId w:val="3"/>
        </w:numPr>
        <w:ind w:hanging="360"/>
      </w:pPr>
      <w:r w:rsidRPr="00263CA5">
        <w:rPr>
          <w:rFonts w:eastAsia="Arial"/>
        </w:rPr>
        <w:t>Attendance, i</w:t>
      </w:r>
      <w:r w:rsidR="00A26F3C" w:rsidRPr="00263CA5">
        <w:rPr>
          <w:rFonts w:eastAsia="Arial"/>
        </w:rPr>
        <w:t>n-class participation and teamwork: 15%</w:t>
      </w:r>
    </w:p>
    <w:p w14:paraId="50615B4B" w14:textId="2B4EE968" w:rsidR="00D4067F" w:rsidRPr="00263CA5" w:rsidRDefault="005B2565">
      <w:pPr>
        <w:numPr>
          <w:ilvl w:val="0"/>
          <w:numId w:val="3"/>
        </w:numPr>
        <w:ind w:hanging="360"/>
      </w:pPr>
      <w:r w:rsidRPr="00263CA5">
        <w:rPr>
          <w:rFonts w:eastAsia="Arial"/>
        </w:rPr>
        <w:t>Homework: 25</w:t>
      </w:r>
      <w:r w:rsidR="00A26F3C" w:rsidRPr="00263CA5">
        <w:rPr>
          <w:rFonts w:eastAsia="Arial"/>
        </w:rPr>
        <w:t>% (the lowest grade will be dropped)</w:t>
      </w:r>
    </w:p>
    <w:p w14:paraId="67419284" w14:textId="77777777" w:rsidR="00D4067F" w:rsidRPr="00263CA5" w:rsidRDefault="00A26F3C">
      <w:pPr>
        <w:numPr>
          <w:ilvl w:val="0"/>
          <w:numId w:val="3"/>
        </w:numPr>
        <w:ind w:hanging="360"/>
      </w:pPr>
      <w:r w:rsidRPr="00263CA5">
        <w:rPr>
          <w:rFonts w:eastAsia="Arial"/>
        </w:rPr>
        <w:t>Exam 1: 15%</w:t>
      </w:r>
    </w:p>
    <w:p w14:paraId="599EC5F1" w14:textId="126B3F13" w:rsidR="00D4067F" w:rsidRPr="00263CA5" w:rsidRDefault="00A26F3C">
      <w:pPr>
        <w:numPr>
          <w:ilvl w:val="0"/>
          <w:numId w:val="3"/>
        </w:numPr>
        <w:ind w:hanging="360"/>
      </w:pPr>
      <w:r w:rsidRPr="00263CA5">
        <w:rPr>
          <w:rFonts w:eastAsia="Arial"/>
        </w:rPr>
        <w:t xml:space="preserve">Exam 2: </w:t>
      </w:r>
      <w:r w:rsidR="005B2565" w:rsidRPr="00263CA5">
        <w:rPr>
          <w:rFonts w:eastAsia="Arial"/>
        </w:rPr>
        <w:t>15%</w:t>
      </w:r>
    </w:p>
    <w:p w14:paraId="3B1C8F49" w14:textId="77777777" w:rsidR="00D4067F" w:rsidRPr="00263CA5" w:rsidRDefault="00A26F3C">
      <w:pPr>
        <w:numPr>
          <w:ilvl w:val="0"/>
          <w:numId w:val="3"/>
        </w:numPr>
        <w:ind w:hanging="360"/>
      </w:pPr>
      <w:r w:rsidRPr="00263CA5">
        <w:rPr>
          <w:rFonts w:eastAsia="Arial"/>
        </w:rPr>
        <w:t>Final exam (cumulative): 30%</w:t>
      </w:r>
    </w:p>
    <w:p w14:paraId="51B1AA1A" w14:textId="77777777" w:rsidR="00D4067F" w:rsidRPr="00263CA5" w:rsidRDefault="00D4067F"/>
    <w:p w14:paraId="27D78555" w14:textId="77777777" w:rsidR="00D4067F" w:rsidRPr="00263CA5" w:rsidRDefault="00A26F3C">
      <w:r w:rsidRPr="00263CA5">
        <w:rPr>
          <w:rFonts w:eastAsia="Arial"/>
        </w:rPr>
        <w:t>The final grade is based on the following criterion</w:t>
      </w:r>
    </w:p>
    <w:p w14:paraId="1222D836" w14:textId="77777777" w:rsidR="00D4067F" w:rsidRPr="00263CA5" w:rsidRDefault="00D4067F"/>
    <w:tbl>
      <w:tblPr>
        <w:tblStyle w:val="TableGrid"/>
        <w:tblW w:w="0" w:type="auto"/>
        <w:jc w:val="center"/>
        <w:tblLook w:val="04A0" w:firstRow="1" w:lastRow="0" w:firstColumn="1" w:lastColumn="0" w:noHBand="0" w:noVBand="1"/>
      </w:tblPr>
      <w:tblGrid>
        <w:gridCol w:w="805"/>
        <w:gridCol w:w="1530"/>
        <w:gridCol w:w="810"/>
        <w:gridCol w:w="2250"/>
      </w:tblGrid>
      <w:tr w:rsidR="00263CA5" w:rsidRPr="00263CA5" w14:paraId="04741CAE" w14:textId="495C41FF" w:rsidTr="00263CA5">
        <w:trPr>
          <w:jc w:val="center"/>
        </w:trPr>
        <w:tc>
          <w:tcPr>
            <w:tcW w:w="805" w:type="dxa"/>
          </w:tcPr>
          <w:p w14:paraId="575B3362" w14:textId="77777777" w:rsidR="00263CA5" w:rsidRPr="00263CA5" w:rsidRDefault="00263CA5" w:rsidP="00263CA5">
            <w:pPr>
              <w:ind w:right="-60"/>
              <w:rPr>
                <w:rFonts w:eastAsia="Arial"/>
              </w:rPr>
            </w:pPr>
            <w:r w:rsidRPr="00263CA5">
              <w:rPr>
                <w:rFonts w:eastAsia="Arial"/>
              </w:rPr>
              <w:t>A</w:t>
            </w:r>
          </w:p>
        </w:tc>
        <w:tc>
          <w:tcPr>
            <w:tcW w:w="1530" w:type="dxa"/>
          </w:tcPr>
          <w:p w14:paraId="60CF1C0E" w14:textId="77777777" w:rsidR="00263CA5" w:rsidRPr="00263CA5" w:rsidRDefault="00263CA5" w:rsidP="00263CA5">
            <w:pPr>
              <w:ind w:right="-60"/>
              <w:jc w:val="center"/>
            </w:pPr>
            <w:r w:rsidRPr="00263CA5">
              <w:rPr>
                <w:rFonts w:eastAsia="Arial"/>
              </w:rPr>
              <w:t>94 – 100%</w:t>
            </w:r>
          </w:p>
        </w:tc>
        <w:tc>
          <w:tcPr>
            <w:tcW w:w="810" w:type="dxa"/>
          </w:tcPr>
          <w:p w14:paraId="735CA767" w14:textId="731EC69D" w:rsidR="00263CA5" w:rsidRPr="00263CA5" w:rsidRDefault="00263CA5" w:rsidP="00263CA5">
            <w:pPr>
              <w:ind w:right="-60"/>
              <w:rPr>
                <w:rFonts w:eastAsia="Arial"/>
              </w:rPr>
            </w:pPr>
            <w:r w:rsidRPr="00263CA5">
              <w:rPr>
                <w:rFonts w:eastAsia="Arial"/>
              </w:rPr>
              <w:t>C</w:t>
            </w:r>
          </w:p>
        </w:tc>
        <w:tc>
          <w:tcPr>
            <w:tcW w:w="2250" w:type="dxa"/>
          </w:tcPr>
          <w:p w14:paraId="448F1D78" w14:textId="774D0D50" w:rsidR="00263CA5" w:rsidRPr="00263CA5" w:rsidRDefault="00263CA5" w:rsidP="00263CA5">
            <w:pPr>
              <w:ind w:right="-60"/>
              <w:jc w:val="center"/>
              <w:rPr>
                <w:rFonts w:eastAsia="Arial"/>
              </w:rPr>
            </w:pPr>
            <w:r w:rsidRPr="00263CA5">
              <w:rPr>
                <w:rFonts w:eastAsia="Arial"/>
              </w:rPr>
              <w:t>74 – 76%</w:t>
            </w:r>
          </w:p>
        </w:tc>
      </w:tr>
      <w:tr w:rsidR="00263CA5" w:rsidRPr="00263CA5" w14:paraId="5B009838" w14:textId="416A5298" w:rsidTr="00263CA5">
        <w:trPr>
          <w:jc w:val="center"/>
        </w:trPr>
        <w:tc>
          <w:tcPr>
            <w:tcW w:w="805" w:type="dxa"/>
          </w:tcPr>
          <w:p w14:paraId="757CFFA5" w14:textId="21A0492F" w:rsidR="00263CA5" w:rsidRPr="00263CA5" w:rsidRDefault="00263CA5" w:rsidP="00263CA5">
            <w:pPr>
              <w:ind w:right="-60"/>
              <w:rPr>
                <w:rFonts w:eastAsia="Arial"/>
              </w:rPr>
            </w:pPr>
            <w:r w:rsidRPr="00263CA5">
              <w:rPr>
                <w:rFonts w:eastAsia="Arial"/>
              </w:rPr>
              <w:t>A-</w:t>
            </w:r>
          </w:p>
        </w:tc>
        <w:tc>
          <w:tcPr>
            <w:tcW w:w="1530" w:type="dxa"/>
          </w:tcPr>
          <w:p w14:paraId="5768653C" w14:textId="77777777" w:rsidR="00263CA5" w:rsidRPr="00263CA5" w:rsidRDefault="00263CA5" w:rsidP="00263CA5">
            <w:pPr>
              <w:ind w:right="-60"/>
              <w:jc w:val="center"/>
            </w:pPr>
            <w:r w:rsidRPr="00263CA5">
              <w:rPr>
                <w:rFonts w:eastAsia="Arial"/>
              </w:rPr>
              <w:t>90 – 93%</w:t>
            </w:r>
          </w:p>
        </w:tc>
        <w:tc>
          <w:tcPr>
            <w:tcW w:w="810" w:type="dxa"/>
          </w:tcPr>
          <w:p w14:paraId="26EF6E6E" w14:textId="7EB65BAF" w:rsidR="00263CA5" w:rsidRPr="00263CA5" w:rsidRDefault="00263CA5" w:rsidP="00263CA5">
            <w:pPr>
              <w:ind w:right="-60"/>
              <w:rPr>
                <w:rFonts w:eastAsia="Arial"/>
              </w:rPr>
            </w:pPr>
            <w:r w:rsidRPr="00263CA5">
              <w:rPr>
                <w:rFonts w:eastAsia="Arial"/>
              </w:rPr>
              <w:t>C-</w:t>
            </w:r>
          </w:p>
        </w:tc>
        <w:tc>
          <w:tcPr>
            <w:tcW w:w="2250" w:type="dxa"/>
          </w:tcPr>
          <w:p w14:paraId="4A6C4A4D" w14:textId="6980A412" w:rsidR="00263CA5" w:rsidRPr="00263CA5" w:rsidRDefault="00263CA5" w:rsidP="00263CA5">
            <w:pPr>
              <w:ind w:right="-60"/>
              <w:jc w:val="center"/>
              <w:rPr>
                <w:rFonts w:eastAsia="Arial"/>
              </w:rPr>
            </w:pPr>
            <w:r w:rsidRPr="00263CA5">
              <w:rPr>
                <w:rFonts w:eastAsia="Arial"/>
              </w:rPr>
              <w:t>70 – 73%</w:t>
            </w:r>
          </w:p>
        </w:tc>
      </w:tr>
      <w:tr w:rsidR="00263CA5" w:rsidRPr="00263CA5" w14:paraId="784968F5" w14:textId="376B4BBB" w:rsidTr="00263CA5">
        <w:trPr>
          <w:jc w:val="center"/>
        </w:trPr>
        <w:tc>
          <w:tcPr>
            <w:tcW w:w="805" w:type="dxa"/>
          </w:tcPr>
          <w:p w14:paraId="40DC8BFD" w14:textId="1D244C3E" w:rsidR="00263CA5" w:rsidRPr="00263CA5" w:rsidRDefault="00263CA5" w:rsidP="00263CA5">
            <w:pPr>
              <w:ind w:right="-60"/>
              <w:rPr>
                <w:rFonts w:eastAsia="Arial"/>
              </w:rPr>
            </w:pPr>
            <w:r w:rsidRPr="00263CA5">
              <w:rPr>
                <w:rFonts w:eastAsia="Arial"/>
              </w:rPr>
              <w:t>B+</w:t>
            </w:r>
          </w:p>
        </w:tc>
        <w:tc>
          <w:tcPr>
            <w:tcW w:w="1530" w:type="dxa"/>
          </w:tcPr>
          <w:p w14:paraId="67F3351C" w14:textId="77777777" w:rsidR="00263CA5" w:rsidRPr="00263CA5" w:rsidRDefault="00263CA5" w:rsidP="00263CA5">
            <w:pPr>
              <w:ind w:right="-60"/>
              <w:jc w:val="center"/>
            </w:pPr>
            <w:r w:rsidRPr="00263CA5">
              <w:rPr>
                <w:rFonts w:eastAsia="Arial"/>
              </w:rPr>
              <w:t>87 – 89%</w:t>
            </w:r>
          </w:p>
        </w:tc>
        <w:tc>
          <w:tcPr>
            <w:tcW w:w="810" w:type="dxa"/>
          </w:tcPr>
          <w:p w14:paraId="2A452405" w14:textId="34E84315" w:rsidR="00263CA5" w:rsidRPr="00263CA5" w:rsidRDefault="00263CA5" w:rsidP="00263CA5">
            <w:pPr>
              <w:ind w:right="-60"/>
              <w:rPr>
                <w:rFonts w:eastAsia="Arial"/>
              </w:rPr>
            </w:pPr>
            <w:r w:rsidRPr="00263CA5">
              <w:rPr>
                <w:rFonts w:eastAsia="Arial"/>
              </w:rPr>
              <w:t>D+</w:t>
            </w:r>
          </w:p>
        </w:tc>
        <w:tc>
          <w:tcPr>
            <w:tcW w:w="2250" w:type="dxa"/>
          </w:tcPr>
          <w:p w14:paraId="39839A8D" w14:textId="6AA38F24" w:rsidR="00263CA5" w:rsidRPr="00263CA5" w:rsidRDefault="00263CA5" w:rsidP="00263CA5">
            <w:pPr>
              <w:ind w:right="-60"/>
              <w:jc w:val="center"/>
              <w:rPr>
                <w:rFonts w:eastAsia="Arial"/>
              </w:rPr>
            </w:pPr>
            <w:r w:rsidRPr="00263CA5">
              <w:rPr>
                <w:rFonts w:eastAsia="Arial"/>
              </w:rPr>
              <w:t>67 – 69%</w:t>
            </w:r>
          </w:p>
        </w:tc>
      </w:tr>
      <w:tr w:rsidR="00263CA5" w:rsidRPr="00263CA5" w14:paraId="5F72D029" w14:textId="08CCD8AF" w:rsidTr="00263CA5">
        <w:trPr>
          <w:jc w:val="center"/>
        </w:trPr>
        <w:tc>
          <w:tcPr>
            <w:tcW w:w="805" w:type="dxa"/>
          </w:tcPr>
          <w:p w14:paraId="334C6D86" w14:textId="148DBAE5" w:rsidR="00263CA5" w:rsidRPr="00263CA5" w:rsidRDefault="00263CA5" w:rsidP="00263CA5">
            <w:pPr>
              <w:ind w:right="-60"/>
              <w:rPr>
                <w:rFonts w:eastAsia="Arial"/>
              </w:rPr>
            </w:pPr>
            <w:r w:rsidRPr="00263CA5">
              <w:rPr>
                <w:rFonts w:eastAsia="Arial"/>
              </w:rPr>
              <w:t>B</w:t>
            </w:r>
          </w:p>
        </w:tc>
        <w:tc>
          <w:tcPr>
            <w:tcW w:w="1530" w:type="dxa"/>
          </w:tcPr>
          <w:p w14:paraId="16128486" w14:textId="77777777" w:rsidR="00263CA5" w:rsidRPr="00263CA5" w:rsidRDefault="00263CA5" w:rsidP="00263CA5">
            <w:pPr>
              <w:ind w:right="-60"/>
              <w:jc w:val="center"/>
            </w:pPr>
            <w:r w:rsidRPr="00263CA5">
              <w:rPr>
                <w:rFonts w:eastAsia="Arial"/>
              </w:rPr>
              <w:t>84 – 86%</w:t>
            </w:r>
          </w:p>
        </w:tc>
        <w:tc>
          <w:tcPr>
            <w:tcW w:w="810" w:type="dxa"/>
          </w:tcPr>
          <w:p w14:paraId="35A173A9" w14:textId="4D6255DE" w:rsidR="00263CA5" w:rsidRPr="00263CA5" w:rsidRDefault="00263CA5" w:rsidP="00263CA5">
            <w:pPr>
              <w:ind w:right="-60"/>
              <w:rPr>
                <w:rFonts w:eastAsia="Arial"/>
              </w:rPr>
            </w:pPr>
            <w:r w:rsidRPr="00263CA5">
              <w:rPr>
                <w:rFonts w:eastAsia="Arial"/>
              </w:rPr>
              <w:t>D</w:t>
            </w:r>
          </w:p>
        </w:tc>
        <w:tc>
          <w:tcPr>
            <w:tcW w:w="2250" w:type="dxa"/>
          </w:tcPr>
          <w:p w14:paraId="0DDEFC2E" w14:textId="533C27F2" w:rsidR="00263CA5" w:rsidRPr="00263CA5" w:rsidRDefault="00263CA5" w:rsidP="00263CA5">
            <w:pPr>
              <w:ind w:right="-60"/>
              <w:jc w:val="center"/>
              <w:rPr>
                <w:rFonts w:eastAsia="Arial"/>
              </w:rPr>
            </w:pPr>
            <w:r w:rsidRPr="00263CA5">
              <w:rPr>
                <w:rFonts w:eastAsia="Arial"/>
              </w:rPr>
              <w:t>64 – 66%</w:t>
            </w:r>
          </w:p>
        </w:tc>
      </w:tr>
      <w:tr w:rsidR="00263CA5" w:rsidRPr="00263CA5" w14:paraId="3BF9CE85" w14:textId="3E7D25C3" w:rsidTr="00263CA5">
        <w:trPr>
          <w:jc w:val="center"/>
        </w:trPr>
        <w:tc>
          <w:tcPr>
            <w:tcW w:w="805" w:type="dxa"/>
          </w:tcPr>
          <w:p w14:paraId="52A899AC" w14:textId="1C47AAE6" w:rsidR="00263CA5" w:rsidRPr="00263CA5" w:rsidRDefault="00263CA5" w:rsidP="00263CA5">
            <w:pPr>
              <w:ind w:right="-60"/>
              <w:rPr>
                <w:rFonts w:eastAsia="Arial"/>
              </w:rPr>
            </w:pPr>
            <w:r w:rsidRPr="00263CA5">
              <w:rPr>
                <w:rFonts w:eastAsia="Arial"/>
              </w:rPr>
              <w:t>B-</w:t>
            </w:r>
          </w:p>
        </w:tc>
        <w:tc>
          <w:tcPr>
            <w:tcW w:w="1530" w:type="dxa"/>
          </w:tcPr>
          <w:p w14:paraId="291C4117" w14:textId="77777777" w:rsidR="00263CA5" w:rsidRPr="00263CA5" w:rsidRDefault="00263CA5" w:rsidP="00263CA5">
            <w:pPr>
              <w:ind w:right="-60"/>
              <w:jc w:val="center"/>
            </w:pPr>
            <w:r w:rsidRPr="00263CA5">
              <w:rPr>
                <w:rFonts w:eastAsia="Arial"/>
              </w:rPr>
              <w:t>80 – 83%</w:t>
            </w:r>
          </w:p>
        </w:tc>
        <w:tc>
          <w:tcPr>
            <w:tcW w:w="810" w:type="dxa"/>
          </w:tcPr>
          <w:p w14:paraId="621E7464" w14:textId="50850C4D" w:rsidR="00263CA5" w:rsidRPr="00263CA5" w:rsidRDefault="00263CA5" w:rsidP="00263CA5">
            <w:pPr>
              <w:ind w:right="-60"/>
              <w:rPr>
                <w:rFonts w:eastAsia="Arial"/>
              </w:rPr>
            </w:pPr>
            <w:r w:rsidRPr="00263CA5">
              <w:rPr>
                <w:rFonts w:eastAsia="Arial"/>
              </w:rPr>
              <w:t>D-</w:t>
            </w:r>
          </w:p>
        </w:tc>
        <w:tc>
          <w:tcPr>
            <w:tcW w:w="2250" w:type="dxa"/>
          </w:tcPr>
          <w:p w14:paraId="45641644" w14:textId="23EFF34B" w:rsidR="00263CA5" w:rsidRPr="00263CA5" w:rsidRDefault="00263CA5" w:rsidP="00263CA5">
            <w:pPr>
              <w:ind w:right="-60"/>
              <w:jc w:val="center"/>
              <w:rPr>
                <w:rFonts w:eastAsia="Arial"/>
              </w:rPr>
            </w:pPr>
            <w:r w:rsidRPr="00263CA5">
              <w:rPr>
                <w:rFonts w:eastAsia="Arial"/>
              </w:rPr>
              <w:t>60 – 63%</w:t>
            </w:r>
          </w:p>
        </w:tc>
      </w:tr>
      <w:tr w:rsidR="00263CA5" w:rsidRPr="00263CA5" w14:paraId="36545178" w14:textId="2BB704CC" w:rsidTr="00263CA5">
        <w:trPr>
          <w:jc w:val="center"/>
        </w:trPr>
        <w:tc>
          <w:tcPr>
            <w:tcW w:w="805" w:type="dxa"/>
          </w:tcPr>
          <w:p w14:paraId="7974A2DF" w14:textId="04740CE1" w:rsidR="00263CA5" w:rsidRPr="00263CA5" w:rsidRDefault="00263CA5" w:rsidP="00263CA5">
            <w:pPr>
              <w:ind w:right="-60"/>
              <w:rPr>
                <w:rFonts w:eastAsia="Arial"/>
              </w:rPr>
            </w:pPr>
            <w:r w:rsidRPr="00263CA5">
              <w:rPr>
                <w:rFonts w:eastAsia="Arial"/>
              </w:rPr>
              <w:t>C+</w:t>
            </w:r>
          </w:p>
        </w:tc>
        <w:tc>
          <w:tcPr>
            <w:tcW w:w="1530" w:type="dxa"/>
          </w:tcPr>
          <w:p w14:paraId="0A994E0F" w14:textId="77777777" w:rsidR="00263CA5" w:rsidRPr="00263CA5" w:rsidRDefault="00263CA5" w:rsidP="00263CA5">
            <w:pPr>
              <w:ind w:right="-60"/>
              <w:jc w:val="center"/>
            </w:pPr>
            <w:r w:rsidRPr="00263CA5">
              <w:rPr>
                <w:rFonts w:eastAsia="Arial"/>
              </w:rPr>
              <w:t>77 – 79%</w:t>
            </w:r>
          </w:p>
        </w:tc>
        <w:tc>
          <w:tcPr>
            <w:tcW w:w="810" w:type="dxa"/>
          </w:tcPr>
          <w:p w14:paraId="273FD4A3" w14:textId="1B35B9F8" w:rsidR="00263CA5" w:rsidRPr="00263CA5" w:rsidRDefault="00263CA5" w:rsidP="00263CA5">
            <w:pPr>
              <w:ind w:right="-60"/>
              <w:rPr>
                <w:rFonts w:eastAsia="Arial"/>
              </w:rPr>
            </w:pPr>
            <w:r w:rsidRPr="00263CA5">
              <w:rPr>
                <w:rFonts w:eastAsia="Arial"/>
              </w:rPr>
              <w:t>F</w:t>
            </w:r>
          </w:p>
        </w:tc>
        <w:tc>
          <w:tcPr>
            <w:tcW w:w="2250" w:type="dxa"/>
          </w:tcPr>
          <w:p w14:paraId="56CD327A" w14:textId="2EE23C5E" w:rsidR="00263CA5" w:rsidRPr="00263CA5" w:rsidRDefault="00263CA5" w:rsidP="00263CA5">
            <w:pPr>
              <w:ind w:right="-60"/>
              <w:jc w:val="center"/>
              <w:rPr>
                <w:rFonts w:eastAsia="Arial"/>
              </w:rPr>
            </w:pPr>
            <w:r w:rsidRPr="00263CA5">
              <w:rPr>
                <w:rFonts w:eastAsia="Arial"/>
              </w:rPr>
              <w:t>0 – 59%</w:t>
            </w:r>
          </w:p>
        </w:tc>
      </w:tr>
    </w:tbl>
    <w:p w14:paraId="5E39C145" w14:textId="77777777" w:rsidR="00D4067F" w:rsidRDefault="00D4067F"/>
    <w:p w14:paraId="21BA201C" w14:textId="77777777" w:rsidR="006872F1" w:rsidRPr="00263CA5" w:rsidRDefault="006872F1"/>
    <w:p w14:paraId="68B85984" w14:textId="77777777" w:rsidR="00D4067F" w:rsidRPr="00263CA5" w:rsidRDefault="00A26F3C">
      <w:r w:rsidRPr="00263CA5">
        <w:rPr>
          <w:rFonts w:eastAsia="Arial"/>
          <w:b/>
        </w:rPr>
        <w:t>Important dates:</w:t>
      </w:r>
    </w:p>
    <w:p w14:paraId="1A543648" w14:textId="77777777" w:rsidR="004C0253" w:rsidRPr="004C0253" w:rsidRDefault="004C0253" w:rsidP="004C0253">
      <w:pPr>
        <w:pStyle w:val="ListParagraph"/>
        <w:numPr>
          <w:ilvl w:val="0"/>
          <w:numId w:val="12"/>
        </w:numPr>
      </w:pPr>
      <w:r w:rsidRPr="004C0253">
        <w:t>September 4: </w:t>
      </w:r>
      <w:r w:rsidRPr="004C0253">
        <w:rPr>
          <w:bCs/>
        </w:rPr>
        <w:t>Labor Day Holiday</w:t>
      </w:r>
      <w:r w:rsidRPr="004C0253">
        <w:t> (No Classes)</w:t>
      </w:r>
    </w:p>
    <w:p w14:paraId="2BB33329" w14:textId="77777777" w:rsidR="004C0253" w:rsidRPr="004C0253" w:rsidRDefault="004C0253" w:rsidP="004C0253">
      <w:pPr>
        <w:pStyle w:val="ListParagraph"/>
        <w:numPr>
          <w:ilvl w:val="0"/>
          <w:numId w:val="12"/>
        </w:numPr>
      </w:pPr>
      <w:r w:rsidRPr="004C0253">
        <w:t>September 5: </w:t>
      </w:r>
      <w:r w:rsidRPr="004C0253">
        <w:rPr>
          <w:bCs/>
        </w:rPr>
        <w:t>Opening Day</w:t>
      </w:r>
      <w:r w:rsidRPr="004C0253">
        <w:t> (No Classes)</w:t>
      </w:r>
    </w:p>
    <w:p w14:paraId="14BE7EEB" w14:textId="77777777" w:rsidR="004C0253" w:rsidRPr="004C0253" w:rsidRDefault="004C0253" w:rsidP="004C0253">
      <w:pPr>
        <w:pStyle w:val="ListParagraph"/>
        <w:numPr>
          <w:ilvl w:val="0"/>
          <w:numId w:val="12"/>
        </w:numPr>
      </w:pPr>
      <w:r w:rsidRPr="004C0253">
        <w:t>September 6: </w:t>
      </w:r>
      <w:r w:rsidRPr="004C0253">
        <w:rPr>
          <w:bCs/>
        </w:rPr>
        <w:t>Classes Begin</w:t>
      </w:r>
    </w:p>
    <w:p w14:paraId="6B17BABC" w14:textId="77777777" w:rsidR="004C0253" w:rsidRPr="004C0253" w:rsidRDefault="004C0253" w:rsidP="004C0253">
      <w:pPr>
        <w:pStyle w:val="ListParagraph"/>
        <w:numPr>
          <w:ilvl w:val="0"/>
          <w:numId w:val="12"/>
        </w:numPr>
      </w:pPr>
      <w:r w:rsidRPr="004C0253">
        <w:t>November 23-26: </w:t>
      </w:r>
      <w:r w:rsidRPr="004C0253">
        <w:rPr>
          <w:bCs/>
        </w:rPr>
        <w:t>Thanksgiving Holiday</w:t>
      </w:r>
      <w:r w:rsidRPr="004C0253">
        <w:t> (No Classes)</w:t>
      </w:r>
    </w:p>
    <w:p w14:paraId="0863B570" w14:textId="77777777" w:rsidR="004C0253" w:rsidRPr="004C0253" w:rsidRDefault="004C0253" w:rsidP="004C0253">
      <w:pPr>
        <w:pStyle w:val="ListParagraph"/>
        <w:numPr>
          <w:ilvl w:val="0"/>
          <w:numId w:val="12"/>
        </w:numPr>
      </w:pPr>
      <w:r w:rsidRPr="004C0253">
        <w:t>December 13: </w:t>
      </w:r>
      <w:r w:rsidRPr="004C0253">
        <w:rPr>
          <w:bCs/>
        </w:rPr>
        <w:t>Wednesday Designated as a Friday</w:t>
      </w:r>
      <w:r w:rsidRPr="004C0253">
        <w:t> (for Friday day classes only; Wednesday day and evening classes do not meet)</w:t>
      </w:r>
    </w:p>
    <w:p w14:paraId="743435F8" w14:textId="77777777" w:rsidR="004C0253" w:rsidRPr="004C0253" w:rsidRDefault="004C0253" w:rsidP="004C0253">
      <w:pPr>
        <w:pStyle w:val="ListParagraph"/>
        <w:numPr>
          <w:ilvl w:val="0"/>
          <w:numId w:val="12"/>
        </w:numPr>
      </w:pPr>
      <w:r w:rsidRPr="004C0253">
        <w:t>December 14: </w:t>
      </w:r>
      <w:r w:rsidRPr="004C0253">
        <w:rPr>
          <w:bCs/>
        </w:rPr>
        <w:t>Classes End</w:t>
      </w:r>
    </w:p>
    <w:p w14:paraId="4C7BA145" w14:textId="193EA8BA" w:rsidR="004C0253" w:rsidRDefault="004C0253" w:rsidP="004C0253">
      <w:pPr>
        <w:pStyle w:val="ListParagraph"/>
        <w:numPr>
          <w:ilvl w:val="0"/>
          <w:numId w:val="12"/>
        </w:numPr>
      </w:pPr>
      <w:r w:rsidRPr="004C0253">
        <w:t>December 15-21: </w:t>
      </w:r>
      <w:r w:rsidRPr="004C0253">
        <w:rPr>
          <w:bCs/>
        </w:rPr>
        <w:t>Examination Period</w:t>
      </w:r>
      <w:r>
        <w:rPr>
          <w:bCs/>
        </w:rPr>
        <w:t xml:space="preserve"> (</w:t>
      </w:r>
      <w:r w:rsidR="00BB4482">
        <w:rPr>
          <w:rFonts w:eastAsia="Arial"/>
        </w:rPr>
        <w:t>Final Exam: Tuesday, Dec 19, 5:30-7:30pm)</w:t>
      </w:r>
    </w:p>
    <w:p w14:paraId="3DE6C030" w14:textId="77777777" w:rsidR="004C0253" w:rsidRPr="00263CA5" w:rsidRDefault="004C0253"/>
    <w:p w14:paraId="489D82EC" w14:textId="77777777" w:rsidR="00D4067F" w:rsidRPr="00263CA5" w:rsidRDefault="00A26F3C">
      <w:r w:rsidRPr="0056417F">
        <w:rPr>
          <w:rFonts w:eastAsia="Arial"/>
          <w:b/>
        </w:rPr>
        <w:t>Note:</w:t>
      </w:r>
      <w:r w:rsidRPr="00263CA5">
        <w:rPr>
          <w:rFonts w:eastAsia="Arial"/>
        </w:rPr>
        <w:t xml:space="preserve"> The instructor reserves the right to make adjustments or changes to this syllabus throughout the semester. Students are responsible to learn about these changes if they miss any class time.</w:t>
      </w:r>
    </w:p>
    <w:p w14:paraId="04C2FD0C" w14:textId="4094353A" w:rsidR="00631AD8" w:rsidRPr="006872F1" w:rsidRDefault="00631AD8" w:rsidP="00480DDB">
      <w:pPr>
        <w:pStyle w:val="NormalWeb"/>
        <w:rPr>
          <w:b/>
          <w:bCs/>
          <w:iCs/>
        </w:rPr>
      </w:pPr>
      <w:r w:rsidRPr="00A31814">
        <w:rPr>
          <w:b/>
          <w:bCs/>
          <w:iCs/>
        </w:rPr>
        <w:t>Academic Integrit</w:t>
      </w:r>
      <w:r w:rsidRPr="00480DDB">
        <w:rPr>
          <w:b/>
          <w:bCs/>
          <w:iCs/>
        </w:rPr>
        <w:t>y</w:t>
      </w:r>
      <w:r w:rsidR="00480DDB" w:rsidRPr="00480DDB">
        <w:rPr>
          <w:b/>
        </w:rPr>
        <w:t>:</w:t>
      </w:r>
      <w:r w:rsidR="00480DDB">
        <w:t xml:space="preserve"> </w:t>
      </w:r>
      <w:r>
        <w:t xml:space="preserve">In this course we will strictly adhere to MSU’s policy for academic integrity: </w:t>
      </w:r>
      <w:hyperlink r:id="rId14" w:tgtFrame="_blank" w:history="1">
        <w:r>
          <w:rPr>
            <w:rStyle w:val="Hyperlink"/>
          </w:rPr>
          <w:t>http://www.montclair.edu/dean-of-students/student-conduct/academic-integrity/</w:t>
        </w:r>
      </w:hyperlink>
      <w:r w:rsidR="004C0253">
        <w:t>.</w:t>
      </w:r>
      <w:r>
        <w:t xml:space="preserve"> Please review in particular a description of plagiarism, a common form of scholastic dishonesty. The penalty for plagiarism, whether it’s done intentionally or inadvertently, can be severe: </w:t>
      </w:r>
      <w:hyperlink r:id="rId15" w:tgtFrame="_blank" w:history="1">
        <w:r>
          <w:rPr>
            <w:rStyle w:val="Hyperlink"/>
          </w:rPr>
          <w:t>http://plagiarism.org/</w:t>
        </w:r>
      </w:hyperlink>
      <w:r>
        <w:t>.</w:t>
      </w:r>
    </w:p>
    <w:p w14:paraId="14FB2DB3" w14:textId="6D92D590" w:rsidR="00631AD8" w:rsidRPr="00263CA5" w:rsidRDefault="00631AD8" w:rsidP="007F63ED">
      <w:pPr>
        <w:pStyle w:val="NormalWeb"/>
      </w:pPr>
      <w:r w:rsidRPr="00A31814">
        <w:rPr>
          <w:b/>
          <w:bCs/>
          <w:iCs/>
        </w:rPr>
        <w:t>Special Needs</w:t>
      </w:r>
      <w:r w:rsidR="00480DDB" w:rsidRPr="00480DDB">
        <w:rPr>
          <w:b/>
        </w:rPr>
        <w:t>:</w:t>
      </w:r>
      <w:r w:rsidR="00480DDB">
        <w:t xml:space="preserve"> </w:t>
      </w:r>
      <w:r>
        <w:t xml:space="preserve">Any student with a physical, sensory, learning, psychological, neurological, or chronic medical disability who requires accommodation should contact the Disability Resource Center at </w:t>
      </w:r>
      <w:hyperlink r:id="rId16" w:tgtFrame="_blank" w:history="1">
        <w:r>
          <w:rPr>
            <w:rStyle w:val="Hyperlink"/>
          </w:rPr>
          <w:t>973-655-5431</w:t>
        </w:r>
      </w:hyperlink>
      <w:r>
        <w:t xml:space="preserve">. The Disability Resource Center is located in Webster Hall, Room 100. For information: </w:t>
      </w:r>
      <w:hyperlink r:id="rId17" w:tgtFrame="_blank" w:history="1">
        <w:r>
          <w:rPr>
            <w:rStyle w:val="Hyperlink"/>
          </w:rPr>
          <w:t>http://www.montclair.edu/disability-resource-center/</w:t>
        </w:r>
      </w:hyperlink>
      <w:r>
        <w:t>. Please let me know if you need specific accommodations for this class.</w:t>
      </w:r>
      <w:r w:rsidR="007F63ED" w:rsidRPr="00263CA5">
        <w:t xml:space="preserve"> </w:t>
      </w:r>
    </w:p>
    <w:sectPr w:rsidR="00631AD8" w:rsidRPr="00263CA5">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4A00F" w14:textId="77777777" w:rsidR="00AC7A0A" w:rsidRDefault="00AC7A0A">
      <w:r>
        <w:separator/>
      </w:r>
    </w:p>
  </w:endnote>
  <w:endnote w:type="continuationSeparator" w:id="0">
    <w:p w14:paraId="6B130A8A" w14:textId="77777777" w:rsidR="00AC7A0A" w:rsidRDefault="00AC7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Segoe UI">
    <w:altName w:val="Times New Roman Bold"/>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85E47" w14:textId="6B6BD117" w:rsidR="00EF5760" w:rsidRDefault="00EF5760">
    <w:pPr>
      <w:tabs>
        <w:tab w:val="center" w:pos="4320"/>
        <w:tab w:val="right" w:pos="8640"/>
      </w:tabs>
      <w:jc w:val="center"/>
    </w:pPr>
    <w:r>
      <w:fldChar w:fldCharType="begin"/>
    </w:r>
    <w:r>
      <w:instrText>PAGE</w:instrText>
    </w:r>
    <w:r>
      <w:fldChar w:fldCharType="separate"/>
    </w:r>
    <w:r w:rsidR="00523F81">
      <w:rPr>
        <w:noProof/>
      </w:rPr>
      <w:t>3</w:t>
    </w:r>
    <w:r>
      <w:fldChar w:fldCharType="end"/>
    </w:r>
    <w:hyperlink r:id="rId1"/>
  </w:p>
  <w:p w14:paraId="5FC5B085" w14:textId="77777777" w:rsidR="00EF5760" w:rsidRDefault="00AC7A0A">
    <w:pPr>
      <w:tabs>
        <w:tab w:val="center" w:pos="4320"/>
        <w:tab w:val="right" w:pos="8640"/>
      </w:tabs>
      <w:spacing w:after="720"/>
    </w:pPr>
    <w:hyperlink r:id="r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22C91" w14:textId="77777777" w:rsidR="00AC7A0A" w:rsidRDefault="00AC7A0A">
      <w:r>
        <w:separator/>
      </w:r>
    </w:p>
  </w:footnote>
  <w:footnote w:type="continuationSeparator" w:id="0">
    <w:p w14:paraId="0F491B4A" w14:textId="77777777" w:rsidR="00AC7A0A" w:rsidRDefault="00AC7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3ECB"/>
    <w:multiLevelType w:val="hybridMultilevel"/>
    <w:tmpl w:val="895C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515F1"/>
    <w:multiLevelType w:val="multilevel"/>
    <w:tmpl w:val="DDC0CF8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199231A2"/>
    <w:multiLevelType w:val="hybridMultilevel"/>
    <w:tmpl w:val="B744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A517D"/>
    <w:multiLevelType w:val="multilevel"/>
    <w:tmpl w:val="0002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45E3D"/>
    <w:multiLevelType w:val="hybridMultilevel"/>
    <w:tmpl w:val="2308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A1A9F"/>
    <w:multiLevelType w:val="multilevel"/>
    <w:tmpl w:val="D6B8D12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460611F6"/>
    <w:multiLevelType w:val="multilevel"/>
    <w:tmpl w:val="8CAC201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48D85795"/>
    <w:multiLevelType w:val="multilevel"/>
    <w:tmpl w:val="6C7E9F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50156B04"/>
    <w:multiLevelType w:val="hybridMultilevel"/>
    <w:tmpl w:val="AC04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7318D"/>
    <w:multiLevelType w:val="multilevel"/>
    <w:tmpl w:val="60506E1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555D29E6"/>
    <w:multiLevelType w:val="hybridMultilevel"/>
    <w:tmpl w:val="3F0C2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87A47"/>
    <w:multiLevelType w:val="multilevel"/>
    <w:tmpl w:val="925A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9"/>
  </w:num>
  <w:num w:numId="4">
    <w:abstractNumId w:val="6"/>
  </w:num>
  <w:num w:numId="5">
    <w:abstractNumId w:val="7"/>
  </w:num>
  <w:num w:numId="6">
    <w:abstractNumId w:val="0"/>
  </w:num>
  <w:num w:numId="7">
    <w:abstractNumId w:val="2"/>
  </w:num>
  <w:num w:numId="8">
    <w:abstractNumId w:val="10"/>
  </w:num>
  <w:num w:numId="9">
    <w:abstractNumId w:val="11"/>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7F"/>
    <w:rsid w:val="0004507F"/>
    <w:rsid w:val="001C1950"/>
    <w:rsid w:val="00263CA5"/>
    <w:rsid w:val="00283574"/>
    <w:rsid w:val="00287233"/>
    <w:rsid w:val="002B0401"/>
    <w:rsid w:val="003A6983"/>
    <w:rsid w:val="003B6855"/>
    <w:rsid w:val="00480DDB"/>
    <w:rsid w:val="004C0253"/>
    <w:rsid w:val="004F24CB"/>
    <w:rsid w:val="00523F81"/>
    <w:rsid w:val="00547969"/>
    <w:rsid w:val="0056417F"/>
    <w:rsid w:val="005B2565"/>
    <w:rsid w:val="006110C5"/>
    <w:rsid w:val="00631AD8"/>
    <w:rsid w:val="006754AD"/>
    <w:rsid w:val="006872F1"/>
    <w:rsid w:val="006E4866"/>
    <w:rsid w:val="0077262A"/>
    <w:rsid w:val="007F63ED"/>
    <w:rsid w:val="00A26F3C"/>
    <w:rsid w:val="00A31814"/>
    <w:rsid w:val="00A428D2"/>
    <w:rsid w:val="00A93571"/>
    <w:rsid w:val="00AB6916"/>
    <w:rsid w:val="00AC7A0A"/>
    <w:rsid w:val="00BB4482"/>
    <w:rsid w:val="00BC7E72"/>
    <w:rsid w:val="00CB0FFB"/>
    <w:rsid w:val="00D251BA"/>
    <w:rsid w:val="00D4067F"/>
    <w:rsid w:val="00E924E9"/>
    <w:rsid w:val="00EF5760"/>
    <w:rsid w:val="00FA01C7"/>
    <w:rsid w:val="00FD0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5008A"/>
  <w15:docId w15:val="{A7C58A4E-5B17-4699-BA00-4FCF33E3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B04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401"/>
    <w:rPr>
      <w:rFonts w:ascii="Segoe UI" w:hAnsi="Segoe UI" w:cs="Segoe UI"/>
      <w:sz w:val="18"/>
      <w:szCs w:val="18"/>
    </w:rPr>
  </w:style>
  <w:style w:type="paragraph" w:styleId="ListParagraph">
    <w:name w:val="List Paragraph"/>
    <w:basedOn w:val="Normal"/>
    <w:uiPriority w:val="34"/>
    <w:qFormat/>
    <w:rsid w:val="00AB6916"/>
    <w:pPr>
      <w:ind w:left="720"/>
      <w:contextualSpacing/>
    </w:pPr>
  </w:style>
  <w:style w:type="paragraph" w:styleId="CommentSubject">
    <w:name w:val="annotation subject"/>
    <w:basedOn w:val="CommentText"/>
    <w:next w:val="CommentText"/>
    <w:link w:val="CommentSubjectChar"/>
    <w:uiPriority w:val="99"/>
    <w:semiHidden/>
    <w:unhideWhenUsed/>
    <w:rsid w:val="005B2565"/>
    <w:rPr>
      <w:b/>
      <w:bCs/>
    </w:rPr>
  </w:style>
  <w:style w:type="character" w:customStyle="1" w:styleId="CommentSubjectChar">
    <w:name w:val="Comment Subject Char"/>
    <w:basedOn w:val="CommentTextChar"/>
    <w:link w:val="CommentSubject"/>
    <w:uiPriority w:val="99"/>
    <w:semiHidden/>
    <w:rsid w:val="005B2565"/>
    <w:rPr>
      <w:b/>
      <w:bCs/>
      <w:sz w:val="20"/>
      <w:szCs w:val="20"/>
    </w:rPr>
  </w:style>
  <w:style w:type="character" w:styleId="Hyperlink">
    <w:name w:val="Hyperlink"/>
    <w:basedOn w:val="DefaultParagraphFont"/>
    <w:uiPriority w:val="99"/>
    <w:unhideWhenUsed/>
    <w:rsid w:val="00263CA5"/>
    <w:rPr>
      <w:color w:val="0563C1" w:themeColor="hyperlink"/>
      <w:u w:val="single"/>
    </w:rPr>
  </w:style>
  <w:style w:type="table" w:styleId="TableGrid">
    <w:name w:val="Table Grid"/>
    <w:basedOn w:val="TableNormal"/>
    <w:uiPriority w:val="39"/>
    <w:rsid w:val="00263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1AD8"/>
    <w:pPr>
      <w:spacing w:before="100" w:beforeAutospacing="1" w:after="100" w:afterAutospacing="1"/>
    </w:pPr>
    <w:rPr>
      <w:color w:val="auto"/>
    </w:rPr>
  </w:style>
  <w:style w:type="character" w:customStyle="1" w:styleId="gi">
    <w:name w:val="gi"/>
    <w:basedOn w:val="DefaultParagraphFont"/>
    <w:rsid w:val="00A31814"/>
  </w:style>
  <w:style w:type="character" w:styleId="Mention">
    <w:name w:val="Mention"/>
    <w:basedOn w:val="DefaultParagraphFont"/>
    <w:uiPriority w:val="99"/>
    <w:semiHidden/>
    <w:unhideWhenUsed/>
    <w:rsid w:val="00BB44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98535">
      <w:bodyDiv w:val="1"/>
      <w:marLeft w:val="0"/>
      <w:marRight w:val="0"/>
      <w:marTop w:val="0"/>
      <w:marBottom w:val="0"/>
      <w:divBdr>
        <w:top w:val="none" w:sz="0" w:space="0" w:color="auto"/>
        <w:left w:val="none" w:sz="0" w:space="0" w:color="auto"/>
        <w:bottom w:val="none" w:sz="0" w:space="0" w:color="auto"/>
        <w:right w:val="none" w:sz="0" w:space="0" w:color="auto"/>
      </w:divBdr>
    </w:div>
    <w:div w:id="511720430">
      <w:bodyDiv w:val="1"/>
      <w:marLeft w:val="0"/>
      <w:marRight w:val="0"/>
      <w:marTop w:val="0"/>
      <w:marBottom w:val="0"/>
      <w:divBdr>
        <w:top w:val="none" w:sz="0" w:space="0" w:color="auto"/>
        <w:left w:val="none" w:sz="0" w:space="0" w:color="auto"/>
        <w:bottom w:val="none" w:sz="0" w:space="0" w:color="auto"/>
        <w:right w:val="none" w:sz="0" w:space="0" w:color="auto"/>
      </w:divBdr>
    </w:div>
    <w:div w:id="779186034">
      <w:bodyDiv w:val="1"/>
      <w:marLeft w:val="0"/>
      <w:marRight w:val="0"/>
      <w:marTop w:val="0"/>
      <w:marBottom w:val="0"/>
      <w:divBdr>
        <w:top w:val="none" w:sz="0" w:space="0" w:color="auto"/>
        <w:left w:val="none" w:sz="0" w:space="0" w:color="auto"/>
        <w:bottom w:val="none" w:sz="0" w:space="0" w:color="auto"/>
        <w:right w:val="none" w:sz="0" w:space="0" w:color="auto"/>
      </w:divBdr>
    </w:div>
    <w:div w:id="1080517470">
      <w:bodyDiv w:val="1"/>
      <w:marLeft w:val="0"/>
      <w:marRight w:val="0"/>
      <w:marTop w:val="0"/>
      <w:marBottom w:val="0"/>
      <w:divBdr>
        <w:top w:val="none" w:sz="0" w:space="0" w:color="auto"/>
        <w:left w:val="none" w:sz="0" w:space="0" w:color="auto"/>
        <w:bottom w:val="none" w:sz="0" w:space="0" w:color="auto"/>
        <w:right w:val="none" w:sz="0" w:space="0" w:color="auto"/>
      </w:divBdr>
    </w:div>
    <w:div w:id="1194423561">
      <w:bodyDiv w:val="1"/>
      <w:marLeft w:val="0"/>
      <w:marRight w:val="0"/>
      <w:marTop w:val="0"/>
      <w:marBottom w:val="0"/>
      <w:divBdr>
        <w:top w:val="none" w:sz="0" w:space="0" w:color="auto"/>
        <w:left w:val="none" w:sz="0" w:space="0" w:color="auto"/>
        <w:bottom w:val="none" w:sz="0" w:space="0" w:color="auto"/>
        <w:right w:val="none" w:sz="0" w:space="0" w:color="auto"/>
      </w:divBdr>
    </w:div>
    <w:div w:id="1247763060">
      <w:bodyDiv w:val="1"/>
      <w:marLeft w:val="0"/>
      <w:marRight w:val="0"/>
      <w:marTop w:val="0"/>
      <w:marBottom w:val="0"/>
      <w:divBdr>
        <w:top w:val="none" w:sz="0" w:space="0" w:color="auto"/>
        <w:left w:val="none" w:sz="0" w:space="0" w:color="auto"/>
        <w:bottom w:val="none" w:sz="0" w:space="0" w:color="auto"/>
        <w:right w:val="none" w:sz="0" w:space="0" w:color="auto"/>
      </w:divBdr>
      <w:divsChild>
        <w:div w:id="2110273188">
          <w:marLeft w:val="0"/>
          <w:marRight w:val="0"/>
          <w:marTop w:val="0"/>
          <w:marBottom w:val="0"/>
          <w:divBdr>
            <w:top w:val="none" w:sz="0" w:space="0" w:color="auto"/>
            <w:left w:val="none" w:sz="0" w:space="0" w:color="auto"/>
            <w:bottom w:val="none" w:sz="0" w:space="0" w:color="auto"/>
            <w:right w:val="none" w:sz="0" w:space="0" w:color="auto"/>
          </w:divBdr>
        </w:div>
        <w:div w:id="1555118493">
          <w:marLeft w:val="0"/>
          <w:marRight w:val="0"/>
          <w:marTop w:val="0"/>
          <w:marBottom w:val="0"/>
          <w:divBdr>
            <w:top w:val="none" w:sz="0" w:space="0" w:color="auto"/>
            <w:left w:val="none" w:sz="0" w:space="0" w:color="auto"/>
            <w:bottom w:val="none" w:sz="0" w:space="0" w:color="auto"/>
            <w:right w:val="none" w:sz="0" w:space="0" w:color="auto"/>
          </w:divBdr>
        </w:div>
        <w:div w:id="1672564412">
          <w:marLeft w:val="0"/>
          <w:marRight w:val="0"/>
          <w:marTop w:val="0"/>
          <w:marBottom w:val="0"/>
          <w:divBdr>
            <w:top w:val="none" w:sz="0" w:space="0" w:color="auto"/>
            <w:left w:val="none" w:sz="0" w:space="0" w:color="auto"/>
            <w:bottom w:val="none" w:sz="0" w:space="0" w:color="auto"/>
            <w:right w:val="none" w:sz="0" w:space="0" w:color="auto"/>
          </w:divBdr>
        </w:div>
        <w:div w:id="575551221">
          <w:marLeft w:val="0"/>
          <w:marRight w:val="0"/>
          <w:marTop w:val="0"/>
          <w:marBottom w:val="0"/>
          <w:divBdr>
            <w:top w:val="none" w:sz="0" w:space="0" w:color="auto"/>
            <w:left w:val="none" w:sz="0" w:space="0" w:color="auto"/>
            <w:bottom w:val="none" w:sz="0" w:space="0" w:color="auto"/>
            <w:right w:val="none" w:sz="0" w:space="0" w:color="auto"/>
          </w:divBdr>
        </w:div>
        <w:div w:id="1902013026">
          <w:marLeft w:val="0"/>
          <w:marRight w:val="0"/>
          <w:marTop w:val="0"/>
          <w:marBottom w:val="0"/>
          <w:divBdr>
            <w:top w:val="none" w:sz="0" w:space="0" w:color="auto"/>
            <w:left w:val="none" w:sz="0" w:space="0" w:color="auto"/>
            <w:bottom w:val="none" w:sz="0" w:space="0" w:color="auto"/>
            <w:right w:val="none" w:sz="0" w:space="0" w:color="auto"/>
          </w:divBdr>
        </w:div>
      </w:divsChild>
    </w:div>
    <w:div w:id="1570337237">
      <w:bodyDiv w:val="1"/>
      <w:marLeft w:val="0"/>
      <w:marRight w:val="0"/>
      <w:marTop w:val="0"/>
      <w:marBottom w:val="0"/>
      <w:divBdr>
        <w:top w:val="none" w:sz="0" w:space="0" w:color="auto"/>
        <w:left w:val="none" w:sz="0" w:space="0" w:color="auto"/>
        <w:bottom w:val="none" w:sz="0" w:space="0" w:color="auto"/>
        <w:right w:val="none" w:sz="0" w:space="0" w:color="auto"/>
      </w:divBdr>
    </w:div>
    <w:div w:id="1761559503">
      <w:bodyDiv w:val="1"/>
      <w:marLeft w:val="0"/>
      <w:marRight w:val="0"/>
      <w:marTop w:val="0"/>
      <w:marBottom w:val="0"/>
      <w:divBdr>
        <w:top w:val="none" w:sz="0" w:space="0" w:color="auto"/>
        <w:left w:val="none" w:sz="0" w:space="0" w:color="auto"/>
        <w:bottom w:val="none" w:sz="0" w:space="0" w:color="auto"/>
        <w:right w:val="none" w:sz="0" w:space="0" w:color="auto"/>
      </w:divBdr>
      <w:divsChild>
        <w:div w:id="1922254439">
          <w:marLeft w:val="0"/>
          <w:marRight w:val="0"/>
          <w:marTop w:val="0"/>
          <w:marBottom w:val="0"/>
          <w:divBdr>
            <w:top w:val="none" w:sz="0" w:space="0" w:color="auto"/>
            <w:left w:val="none" w:sz="0" w:space="0" w:color="auto"/>
            <w:bottom w:val="none" w:sz="0" w:space="0" w:color="auto"/>
            <w:right w:val="none" w:sz="0" w:space="0" w:color="auto"/>
          </w:divBdr>
        </w:div>
        <w:div w:id="1122920091">
          <w:marLeft w:val="0"/>
          <w:marRight w:val="0"/>
          <w:marTop w:val="0"/>
          <w:marBottom w:val="0"/>
          <w:divBdr>
            <w:top w:val="none" w:sz="0" w:space="0" w:color="auto"/>
            <w:left w:val="none" w:sz="0" w:space="0" w:color="auto"/>
            <w:bottom w:val="none" w:sz="0" w:space="0" w:color="auto"/>
            <w:right w:val="none" w:sz="0" w:space="0" w:color="auto"/>
          </w:divBdr>
        </w:div>
      </w:divsChild>
    </w:div>
    <w:div w:id="181386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tclair.edu/student-development-campus-life/academic-success-center/" TargetMode="External"/><Relationship Id="rId13" Type="http://schemas.openxmlformats.org/officeDocument/2006/relationships/hyperlink" Target="http://rationalreasoning.ne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ationalreasoning.net/precalculus/#" TargetMode="External"/><Relationship Id="rId12" Type="http://schemas.openxmlformats.org/officeDocument/2006/relationships/hyperlink" Target="http://rationalreasoning.net/" TargetMode="External"/><Relationship Id="rId17" Type="http://schemas.openxmlformats.org/officeDocument/2006/relationships/hyperlink" Target="http://www.montclair.edu/disability-resource-center/" TargetMode="External"/><Relationship Id="rId2" Type="http://schemas.openxmlformats.org/officeDocument/2006/relationships/styles" Target="styles.xml"/><Relationship Id="rId16" Type="http://schemas.openxmlformats.org/officeDocument/2006/relationships/hyperlink" Target="tel:973-655-543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tionalreasoning.net/" TargetMode="External"/><Relationship Id="rId5" Type="http://schemas.openxmlformats.org/officeDocument/2006/relationships/footnotes" Target="footnotes.xml"/><Relationship Id="rId15" Type="http://schemas.openxmlformats.org/officeDocument/2006/relationships/hyperlink" Target="http://plagiarism.org/" TargetMode="External"/><Relationship Id="rId10" Type="http://schemas.openxmlformats.org/officeDocument/2006/relationships/hyperlink" Target="https://rationalreasoning.net/amember/signup.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c@mail.montclair.edu" TargetMode="External"/><Relationship Id="rId14" Type="http://schemas.openxmlformats.org/officeDocument/2006/relationships/hyperlink" Target="http://www.montclair.edu/dean-of-students/student-conduct/academic-integrity/"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cada@mail.montclair.edu" TargetMode="External"/><Relationship Id="rId1" Type="http://schemas.openxmlformats.org/officeDocument/2006/relationships/hyperlink" Target="mailto:cada@mail.montclai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ZGA</dc:creator>
  <cp:lastModifiedBy>mahmoudhamdeh</cp:lastModifiedBy>
  <cp:revision>4</cp:revision>
  <dcterms:created xsi:type="dcterms:W3CDTF">2017-09-09T03:13:00Z</dcterms:created>
  <dcterms:modified xsi:type="dcterms:W3CDTF">2017-09-09T03:14:00Z</dcterms:modified>
</cp:coreProperties>
</file>