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Model Accuracy – U.S. Age-Adjusted Death Rate (Training vs Validation 2010–2018)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1609"/>
        <w:gridCol w:w="1596"/>
        <w:gridCol w:w="1425"/>
        <w:gridCol w:w="1413"/>
      </w:tblGrid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Train.RMSE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Train.MASE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Val.RMSE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Val.MASE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Naïve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79.174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ARIMA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TSLM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208.350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2026-04-06T15:48:44Z</dcterms:modified>
  <cp:category/>
</cp:coreProperties>
</file>