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2E3C"/>
          <w:sz w:val="52"/>
          <w:szCs w:val="52"/>
        </w:rPr>
        <w:t xml:space="preserve">Cosmetics Compliance SaaS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Build Roadmap &amp; Test Gates</w:t>
      </w:r>
    </w:p>
    <w:p>
      <w:pPr>
        <w:spacing w:after="28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•  June 2026  •  Internal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document defines the phased build plan for turning the current single-company compliance manager into a commercial multi-tenant SaaS for small cosmetics brands. Each phase ends with a test gate — a set of pass/fail checks that must all be green before development moves forward.</w:t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E3C"/>
          <w:sz w:val="32"/>
          <w:szCs w:val="32"/>
        </w:rPr>
        <w:t xml:space="preserve">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Focus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outcome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1"/>
                <w:szCs w:val="21"/>
              </w:rPr>
              <w:t xml:space="preserve">Phase 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Multi-tenancy — one app, many companies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Data fully isolated per company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Phase 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User management — invites &amp; roles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Teams can collaborate safely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1"/>
                <w:szCs w:val="21"/>
              </w:rPr>
              <w:t xml:space="preserve">Phase 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Pricing tiers &amp; Stripe billing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App can take real payments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Phase 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AI credits &amp; usage logging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AI cost transparent and controlled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1"/>
                <w:szCs w:val="21"/>
              </w:rPr>
              <w:t xml:space="preserve">Phase 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Onboarding &amp; public presence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Stranger can sign up without help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1"/>
                <w:szCs w:val="21"/>
              </w:rPr>
              <w:t xml:space="preserve">Phase 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Compliance content &amp; features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Full value for small brands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 phase starts until the previous test gate is fully green. This prevents building billing on broken multi-tenancy, or content features on broken billing.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PHASE 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3C"/>
                <w:sz w:val="32"/>
                <w:szCs w:val="32"/>
              </w:rPr>
              <w:t xml:space="preserve">Multi-tenancy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One app, many companies — data fully isolated per org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Everything in the current app belongs to a single implicit company. This phase adds an organisations table and wires org_id through every data table, enforced by Supabase Row Level Security. Nothing else can be built reliably until this is in place.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E3C"/>
          <w:sz w:val="26"/>
          <w:szCs w:val="26"/>
        </w:rPr>
        <w:t xml:space="preserve">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Deliverables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 organisations table (id, name, slug, created_at)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 RLS policies updated — every query scoped to user's org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 org_id added to: products, documents, 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 Platform admin role kept separate from org admin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 pricing_tiers table (ranges, price, ai_credits, trial_days, markets)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 Migration script: existing data moved into org 1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TEST GATE — all checks must pass before proceeding to next phase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  <w:ind w:left="320" w:hanging="22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[ ]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Two separate test companies log in and see only their own products and documents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  <w:ind w:left="320" w:hanging="22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[ ]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 user from Company A cannot access data from Company B — not via UI, not via direct API call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  <w:ind w:left="320" w:hanging="22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[ ]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Existing data (current company) still works correctly after migration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  <w:ind w:left="320" w:hanging="22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[ ]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pricing_tiers table exists with at least 3 tier records defined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40"/>
              <w:left w:type="dxa" w:w="200"/>
              <w:bottom w:type="dxa" w:w="80"/>
              <w:right w:type="dxa" w:w="20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PHASE 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3C"/>
                <w:sz w:val="32"/>
                <w:szCs w:val="32"/>
              </w:rPr>
              <w:t xml:space="preserve">User management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Invite team members, assign roles, control access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Currently all users have the same access. This phase introduces roles within an org and an email invite flow, so a brand owner can add team members without sharing their own credentials.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E3C"/>
          <w:sz w:val="26"/>
          <w:szCs w:val="26"/>
        </w:rPr>
        <w:t xml:space="preserve">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Deliverables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 Roles: org_admin, editor, viewer (on user profile)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 Role-based UI: viewers cannot upload or trigger AI checks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 Email invite flow — org admin sends invite link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 Org admin can remove users from their org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 Invited user signs up into the correct org automatically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 Invite links expire after 48 hours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TEST GATE — all checks must pass before proceeding to next phase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  <w:ind w:left="320" w:hanging="22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[ ]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Org admin can invite a user by email and that user joins the correct org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  <w:ind w:left="320" w:hanging="22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[ ]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Editor can upload documents but cannot access billing or user management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  <w:ind w:left="320" w:hanging="22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[ ]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Viewer can view but cannot upload, edit, or trigger AI checks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  <w:ind w:left="320" w:hanging="22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[ ]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Expired invite links are rejected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  <w:ind w:left="320" w:hanging="22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[ ]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Removing a user from an org immediately revokes access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40"/>
              <w:left w:type="dxa" w:w="200"/>
              <w:bottom w:type="dxa" w:w="80"/>
              <w:right w:type="dxa" w:w="20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PHASE 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3C"/>
                <w:sz w:val="32"/>
                <w:szCs w:val="32"/>
              </w:rPr>
              <w:t xml:space="preserve">Pricing tiers &amp; Stripe billing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Accept real payments, enforce plan limits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phase connects the pricing_tiers table (built in Phase 1) to Stripe subscriptions. An org's active plan determines what they can access. Trial periods come from the tier record — no hardcoding.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E3C"/>
          <w:sz w:val="26"/>
          <w:szCs w:val="26"/>
        </w:rPr>
        <w:t xml:space="preserve">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Deliverables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 Stripe Customer created per org at signup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 Trial period driven by pricing_tiers.trial_days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 Stripe Checkout for new subscriptions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 Plan limits enforced: block product creation above tier max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 Stripe Customer Portal: upgrade, downgrade, cancel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 Billing page in org settings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 Webhooks: sync subscription status to DB (active, past_due, cancelled)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 Grace period for failed payments before access suspension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TEST GATE — all checks must pass before proceeding to next phase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  <w:ind w:left="320" w:hanging="22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[ ]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New org can sign up, start a trial, and access the 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  <w:ind w:left="320" w:hanging="22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[ ]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Trial expiry blocks access with a prompt to subscribe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  <w:ind w:left="320" w:hanging="22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[ ]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Successful payment activates subscription and correct plan limits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  <w:ind w:left="320" w:hanging="22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[ ]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Upgrading plan immediately unlocks higher product limit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  <w:ind w:left="320" w:hanging="22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[ ]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Cancellation keeps access until end of billing period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  <w:ind w:left="320" w:hanging="22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[ ]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Failed payment triggers grace period then suspends access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  <w:ind w:left="320" w:hanging="22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[ ]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Stripe Customer Portal allows self-service without contacting 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40"/>
              <w:left w:type="dxa" w:w="200"/>
              <w:bottom w:type="dxa" w:w="80"/>
              <w:right w:type="dxa" w:w="20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EB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PHASE 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3C"/>
                <w:sz w:val="32"/>
                <w:szCs w:val="32"/>
              </w:rPr>
              <w:t xml:space="preserve">AI credits &amp; usage logging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Transparent AI costs — no surprise bills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Every AI document check is logged with token counts and cost. Orgs have a monthly credit allowance from their tier. When credits run low they see it clearly and can buy a top-up pack. Predictable for small brands; profitable for us.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E3C"/>
          <w:sz w:val="26"/>
          <w:szCs w:val="26"/>
        </w:rPr>
        <w:t xml:space="preserve">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Deliverables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 ai_usage_log: org_id, user_id, doc_id, tokens_in, tokens_out, cost_usd, 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 AI usage dashboard: credits remaining, checks run, cost this 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 Credit deduction on every AI check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 Usage history log visible to org admin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 AI check blocked at 0 credits — clear message + top-up prompt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 Platform owner view: Anthropic cost vs billed per org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 Top-up credit packs purchasable via Stripe (one-time payment)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 Credits reset on each billing renewal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TEST GATE — all checks must pass before proceeding to next phase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  <w:ind w:left="320" w:hanging="22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[ ]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Running an AI check deducts exactly 1 credit and logs token counts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  <w:ind w:left="320" w:hanging="22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[ ]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When credits reach 0, AI check is blocked with clear message and top-up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  <w:ind w:left="320" w:hanging="22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[ ]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Purchasing a top-up immediately adds credits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  <w:ind w:left="320" w:hanging="22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[ ]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Org admin sees real-time credits remaining and usage history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  <w:ind w:left="320" w:hanging="22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[ ]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Platform owner can see cost vs billed margin per org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  <w:ind w:left="320" w:hanging="22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[ ]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Credits reset correctly at the start of each billing period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40"/>
              <w:left w:type="dxa" w:w="200"/>
              <w:bottom w:type="dxa" w:w="80"/>
              <w:right w:type="dxa" w:w="20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PHASE 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3C"/>
                <w:sz w:val="32"/>
                <w:szCs w:val="32"/>
              </w:rPr>
              <w:t xml:space="preserve">Onboarding &amp; public presence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 stranger can sign up and get value without our help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app is not sellable until someone unknown can discover it, sign up, and reach a useful state on their own. This phase adds the minimum public presence and guided onboarding for that.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E3C"/>
          <w:sz w:val="26"/>
          <w:szCs w:val="26"/>
        </w:rPr>
        <w:t xml:space="preserve">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Deliverables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 Public landing page: what it does, pricing, sign-up CTA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 Empty states with clear next-action prompts (no blank screens)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 Sign-up flow: company name, target markets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 Terms of Service and Privacy Policy (GDPR-compliant)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 Guided first steps: add first product, upload first document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 Transactional emails: welcome, invite, receipt, expiry reminder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TEST GATE — all checks must pass before proceeding to next phase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  <w:ind w:left="320" w:hanging="22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[ ]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 person with no prior knowledge can find the page, understand the product, and sign 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  <w:ind w:left="320" w:hanging="22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[ ]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After signing up they can add a product and upload a document without help from 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  <w:ind w:left="320" w:hanging="22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[ ]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 blank screens — every empty state has a clear call to action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  <w:ind w:left="320" w:hanging="22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[ ]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Welcome email received within 2 minutes of signup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  <w:ind w:left="320" w:hanging="22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[ ]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Privacy Policy and Terms accessible before payment is taken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40"/>
              <w:left w:type="dxa" w:w="200"/>
              <w:bottom w:type="dxa" w:w="80"/>
              <w:right w:type="dxa" w:w="20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E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PHASE 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3C"/>
                <w:sz w:val="32"/>
                <w:szCs w:val="32"/>
              </w:rPr>
              <w:t xml:space="preserve">Compliance content &amp; features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Full value for small brands in EU and Middle East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With the platform solid, this phase adds the features that make the app genuinely valuable — a small cosmetics brand managing document compliance across EU and Middle East markets.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E3C"/>
          <w:sz w:val="26"/>
          <w:szCs w:val="26"/>
        </w:rPr>
        <w:t xml:space="preserve">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Deliverables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 Document requirements per market (EU, UAE, Saudi, Kuwait, etc.)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 Cross-document AI check (e.g. CPSR ingredients vs INCI list)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 Per-product compliance checklist: green / amber / red per market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 Country-specific Middle East AI prompt rules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 Portfolio dashboard: compliance health across all products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 Regulatory update alerts (EU Annexes, GSO standard changes)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 Expiry &amp; review date tracking with email reminders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 Shareable compliance status report (PDF, for distributors)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TEST GATE — all checks must pass before proceeding to next phase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  <w:ind w:left="320" w:hanging="22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[ ]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 new product shows exactly which documents are required per selected market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  <w:ind w:left="320" w:hanging="22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[ ]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Portfolio dashboard correctly shows compliance status across all products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  <w:ind w:left="320" w:hanging="22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[ ]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Expiry reminders sent at 60, 30, and 7 days before review 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  <w:ind w:left="320" w:hanging="22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[ ]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Cross-document AI check correctly flags a CPSR / INCI mismatch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  <w:ind w:left="320" w:hanging="22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[ ]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 compliance report can be generated and shared as a PDF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40"/>
              <w:left w:type="dxa" w:w="200"/>
              <w:bottom w:type="dxa" w:w="80"/>
              <w:right w:type="dxa" w:w="20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E3C"/>
          <w:sz w:val="32"/>
          <w:szCs w:val="32"/>
        </w:rPr>
        <w:t xml:space="preserve">Notes &amp; decisions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E3C"/>
          <w:sz w:val="26"/>
          <w:szCs w:val="26"/>
        </w:rPr>
        <w:t xml:space="preserve">Pricing tier data model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Tier ranges (e.g. 1–10, 11–25 products) are stored in a pricing_tiers database table, not hardcoded. Tier boundaries, prices, included credits, and trial lengths can all be changed without a code deployment. Built in Phase 1, referenced by billing in Phase 3.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E3C"/>
          <w:sz w:val="26"/>
          <w:szCs w:val="26"/>
        </w:rPr>
        <w:t xml:space="preserve">AI cost model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Each plan includes a monthly AI credit allowance. One credit = one document check, regardless of document length (token variance absorbed in margin). Credits reset on billing renewal. Top-up packs are one-time Stripe purchases. Actual Anthropic token costs are logged per org so platform margin can be monitored.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E3C"/>
          <w:sz w:val="26"/>
          <w:szCs w:val="26"/>
        </w:rPr>
        <w:t xml:space="preserve">Middle East scope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Phase 3 billing supports market selection per org (EU, UAE, Saudi Arabia, Kuwait, others). Phase 6 content adds country-specific document requirements and AI prompt rules. The two are decoupled — billing does not need to know country-specific rules.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E3C"/>
          <w:sz w:val="26"/>
          <w:szCs w:val="26"/>
        </w:rPr>
        <w:t xml:space="preserve">Out of scope for v1</w:t>
      </w:r>
    </w:p>
    <w:p>
      <w:pPr>
        <w:spacing w:after="40" w:before="40"/>
        <w:ind w:left="440" w:hanging="220"/>
      </w:pPr>
      <w:r>
        <w:rPr>
          <w:rFonts w:ascii="Arial" w:cs="Arial" w:eastAsia="Arial" w:hAnsi="Arial"/>
          <w:sz w:val="22"/>
          <w:szCs w:val="22"/>
        </w:rPr>
        <w:t xml:space="preserve">•  Mobile app — web is sufficient for the target user</w:t>
      </w:r>
    </w:p>
    <w:p>
      <w:pPr>
        <w:spacing w:after="40" w:before="40"/>
        <w:ind w:left="440" w:hanging="220"/>
      </w:pPr>
      <w:r>
        <w:rPr>
          <w:rFonts w:ascii="Arial" w:cs="Arial" w:eastAsia="Arial" w:hAnsi="Arial"/>
          <w:sz w:val="22"/>
          <w:szCs w:val="22"/>
        </w:rPr>
        <w:t xml:space="preserve">•  Formulation / ingredient analysis — different product category</w:t>
      </w:r>
    </w:p>
    <w:p>
      <w:pPr>
        <w:spacing w:after="40" w:before="40"/>
        <w:ind w:left="440" w:hanging="220"/>
      </w:pPr>
      <w:r>
        <w:rPr>
          <w:rFonts w:ascii="Arial" w:cs="Arial" w:eastAsia="Arial" w:hAnsi="Arial"/>
          <w:sz w:val="22"/>
          <w:szCs w:val="22"/>
        </w:rPr>
        <w:t xml:space="preserve">•  CPNP or eCosma direct filing integrations — future phase if demand exists</w:t>
      </w:r>
    </w:p>
    <w:p>
      <w:pPr>
        <w:spacing w:after="40" w:before="40"/>
        <w:ind w:left="440" w:hanging="220"/>
      </w:pPr>
      <w:r>
        <w:rPr>
          <w:rFonts w:ascii="Arial" w:cs="Arial" w:eastAsia="Arial" w:hAnsi="Arial"/>
          <w:sz w:val="22"/>
          <w:szCs w:val="22"/>
        </w:rPr>
        <w:t xml:space="preserve">•  White-labelling for regulatory consultants — possible later revenue stream</w:t>
      </w:r>
    </w:p>
    <w:p>
      <w:pPr>
        <w:spacing w:after="0" w:before="120"/>
      </w:pPr>
      <w:r>
        <w:t xml:space="preserve"/>
      </w:r>
    </w:p>
    <w:p>
      <w:pPr>
        <w:pBdr>
          <w:bottom w:val="single" w:color="CCCCCC" w:sz="4"/>
        </w:pBdr>
      </w:pPr>
    </w:p>
    <w:p>
      <w:pPr>
        <w:spacing w:after="0" w:before="4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Cosmetics Compliance Manager  •  Internal roadmap  •  June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2E3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2E3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2026-06-26T14:05:53.672Z</dcterms:created>
  <dcterms:modified xsi:type="dcterms:W3CDTF">2026-06-26T14:05:53.674Z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