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40"/>
        <w:pBdr>
          <w:bottom w:val="single" w:sz="6" w:space="1" w:color="000000"/>
        </w:pBdr>
      </w:pPr>
    </w:p>
    <w:p>
      <w:pPr>
        <w:spacing w:before="120" w:after="40"/>
        <w:jc w:val="center"/>
      </w:pPr>
      <w:r>
        <w:rPr>
          <w:rFonts w:ascii="Times New Roman" w:hAnsi="Times New Roman"/>
          <w:b/>
          <w:i w:val="0"/>
          <w:sz w:val="34"/>
          <w:u w:val="none"/>
        </w:rPr>
        <w:t>REGAINX: ADAPTIVE REINFORCEMENT LEARNING EXOSKELETONS</w:t>
        <w:br/>
        <w:t>FOR REAL-TIME MITIGATION OF PARKINSON'S MOTOR IMPAIRMENTS</w:t>
      </w:r>
    </w:p>
    <w:p>
      <w:pPr>
        <w:spacing w:before="40" w:after="40"/>
        <w:pBdr>
          <w:bottom w:val="single" w:sz="6" w:space="1" w:color="000000"/>
        </w:pBdr>
      </w:pPr>
    </w:p>
    <w:p>
      <w:pPr>
        <w:spacing w:before="60" w:after="120"/>
        <w:jc w:val="center"/>
      </w:pPr>
      <w:r>
        <w:rPr>
          <w:rFonts w:ascii="Times New Roman" w:hAnsi="Times New Roman"/>
          <w:b w:val="0"/>
          <w:i w:val="0"/>
          <w:sz w:val="18"/>
          <w:u w:val="none"/>
        </w:rPr>
        <w:t>A P  R  E  P  R  I  N  T</w:t>
      </w:r>
    </w:p>
    <w:p>
      <w:pPr>
        <w:spacing w:before="40" w:after="40"/>
        <w:jc w:val="center"/>
      </w:pPr>
      <w:r>
        <w:rPr>
          <w:rFonts w:ascii="Times New Roman" w:hAnsi="Times New Roman"/>
          <w:b/>
          <w:i w:val="0"/>
          <w:sz w:val="20"/>
          <w:u w:val="none"/>
        </w:rPr>
        <w:t>Rohan Bankapur</w:t>
      </w:r>
      <w:r>
        <w:rPr>
          <w:rFonts w:ascii="Times New Roman" w:hAnsi="Times New Roman"/>
          <w:b/>
          <w:i w:val="0"/>
          <w:sz w:val="16"/>
          <w:u w:val="none"/>
        </w:rPr>
        <w:t>*</w:t>
      </w:r>
    </w:p>
    <w:p>
      <w:pPr>
        <w:spacing w:before="0" w:after="0"/>
        <w:jc w:val="center"/>
      </w:pPr>
      <w:r>
        <w:rPr>
          <w:rFonts w:ascii="Times New Roman" w:hAnsi="Times New Roman"/>
          <w:b w:val="0"/>
          <w:i w:val="0"/>
          <w:sz w:val="20"/>
          <w:u w:val="none"/>
        </w:rPr>
        <w:t>Independent Researcher</w:t>
      </w:r>
    </w:p>
    <w:p>
      <w:pPr>
        <w:spacing w:before="0" w:after="0"/>
        <w:jc w:val="center"/>
      </w:pPr>
      <w:r>
        <w:rPr>
          <w:rFonts w:ascii="Times New Roman" w:hAnsi="Times New Roman"/>
          <w:b w:val="0"/>
          <w:i w:val="0"/>
          <w:sz w:val="20"/>
          <w:u w:val="none"/>
        </w:rPr>
        <w:t>Frisco, TX, USA</w:t>
      </w:r>
    </w:p>
    <w:p>
      <w:pPr>
        <w:spacing w:before="0" w:after="0"/>
        <w:jc w:val="center"/>
      </w:pPr>
      <w:r>
        <w:rPr>
          <w:rFonts w:ascii="Courier New" w:hAnsi="Courier New"/>
          <w:b w:val="0"/>
          <w:i w:val="0"/>
          <w:sz w:val="20"/>
          <w:u w:val="none"/>
        </w:rPr>
        <w:t>rohannb02@gmail.com</w:t>
      </w:r>
    </w:p>
    <w:p>
      <w:pPr>
        <w:spacing w:before="80" w:after="160"/>
        <w:jc w:val="left"/>
      </w:pPr>
      <w:r>
        <w:rPr>
          <w:rFonts w:ascii="Times New Roman" w:hAnsi="Times New Roman"/>
          <w:b/>
          <w:i w:val="0"/>
          <w:sz w:val="16"/>
          <w:u w:val="none"/>
        </w:rPr>
        <w:t>*</w:t>
      </w:r>
      <w:r>
        <w:rPr>
          <w:rFonts w:ascii="Times New Roman" w:hAnsi="Times New Roman"/>
          <w:b w:val="0"/>
          <w:i w:val="0"/>
          <w:sz w:val="18"/>
          <w:u w:val="none"/>
        </w:rPr>
        <w:t xml:space="preserve"> Code available at: </w:t>
      </w:r>
      <w:r>
        <w:rPr>
          <w:rFonts w:ascii="Courier New" w:hAnsi="Courier New"/>
          <w:b w:val="0"/>
          <w:i w:val="0"/>
          <w:color w:val="0000FF"/>
          <w:sz w:val="18"/>
          <w:u w:val="single"/>
        </w:rPr>
        <w:t>https://github.com/TerminalRocketship45/ReGainX</w:t>
      </w:r>
    </w:p>
    <w:p>
      <w:pPr>
        <w:spacing w:before="120" w:after="80"/>
        <w:jc w:val="center"/>
      </w:pPr>
      <w:r>
        <w:rPr>
          <w:rFonts w:ascii="Times New Roman" w:hAnsi="Times New Roman"/>
          <w:b/>
          <w:i w:val="0"/>
          <w:sz w:val="24"/>
          <w:u w:val="none"/>
        </w:rPr>
        <w:t>Abstract</w:t>
      </w:r>
    </w:p>
    <w:p>
      <w:pPr>
        <w:spacing w:before="0" w:after="80" w:line="240" w:lineRule="exact"/>
        <w:ind w:left="576" w:right="576"/>
        <w:jc w:val="both"/>
      </w:pPr>
      <w:r>
        <w:rPr>
          <w:rFonts w:ascii="Times New Roman" w:hAnsi="Times New Roman"/>
          <w:b w:val="0"/>
          <w:i w:val="0"/>
          <w:sz w:val="20"/>
          <w:u w:val="none"/>
        </w:rPr>
        <w:t>Parkinson’s disease (PD) limits daily elbow movement in over 10 million people, causing progressive muscular degeneration and idiosyncratic bradykinesia. Existing exoskeletons fail to generalise to Parkinson’s patients due to a lack of representative data, hardware limitations, and calibration difficulty. ReGainX introduces a three-stage multi-agent reinforcement learning framework that creates diverse Parkinson’s digital twins using Proximal Policy Optimisation (PPO). A custom RecurrentPPO algorithm with an LSTM policy fuses EMG and IMU data for real-time, adaptive torque control. The trained policy achieves a mean trajectory match of r = 0.494 and a goal achievement rate of 88.8% across 4,000 stratified evaluation episodes spanning the full PD severity spectrum, without per-session recalibration. An ablation study demonstrates that the combined-trained policy achieves a 35.7% higher trajectory match than exoskeletons trained on muscle weakness alone, sustaining a mean reward of 382.30 at the most severe impairment level versus 9.26 for the degeneration-only policy—validating combined impairment modelling as a necessary condition for cross-patient generalisability.</w:t>
      </w:r>
    </w:p>
    <w:p>
      <w:pPr>
        <w:spacing w:before="80" w:after="160"/>
        <w:ind w:left="576" w:right="576"/>
        <w:jc w:val="both"/>
      </w:pPr>
      <w:r>
        <w:rPr>
          <w:rFonts w:ascii="Times New Roman" w:hAnsi="Times New Roman"/>
          <w:b/>
          <w:i/>
          <w:sz w:val="20"/>
          <w:u w:val="none"/>
        </w:rPr>
        <w:t>Keywords</w:t>
      </w:r>
      <w:r>
        <w:rPr>
          <w:rFonts w:ascii="Times New Roman" w:hAnsi="Times New Roman"/>
          <w:b w:val="0"/>
          <w:i w:val="0"/>
          <w:sz w:val="20"/>
          <w:u w:val="none"/>
        </w:rPr>
        <w:t xml:space="preserve">  Parkinson’s disease · exoskeleton · reinforcement learning · musculoskeletal simulation · bradykinesia · multi-agent systems</w:t>
      </w:r>
    </w:p>
    <w:p>
      <w:pPr>
        <w:spacing w:before="200" w:after="80" w:line="280" w:lineRule="exact"/>
        <w:jc w:val="left"/>
      </w:pPr>
      <w:r>
        <w:rPr>
          <w:rFonts w:ascii="Times New Roman" w:hAnsi="Times New Roman"/>
          <w:b/>
          <w:i w:val="0"/>
          <w:sz w:val="24"/>
          <w:u w:val="none"/>
        </w:rPr>
        <w:t>1  INTRODUCTION</w:t>
      </w:r>
    </w:p>
    <w:p>
      <w:pPr>
        <w:spacing w:before="0" w:after="80" w:line="240" w:lineRule="exact"/>
        <w:jc w:val="both"/>
      </w:pPr>
      <w:r>
        <w:rPr>
          <w:rFonts w:ascii="Times New Roman" w:hAnsi="Times New Roman"/>
          <w:b w:val="0"/>
          <w:i w:val="0"/>
          <w:sz w:val="20"/>
          <w:u w:val="none"/>
        </w:rPr>
        <w:t>Parkinson’s disease (PD) affects over 10 million people globally, costing $82.2 billion annually in the U.S. [Chaudhuri et al., 2025; Parkinson’s Foundation, 2026]. Two compounding motor impairments progressively restrict daily elbow movement: muscular degeneration, the progressive weakening of muscle force by sarcopenia and fatigue, and bradykinesia, the fluctuating slowing and delay of voluntary movement. Critically, PD motor severity does not remain fixed—patients cycle between ON and OFF states within a single day as medication efficacy fluctuates, producing unpredictable swings in impairment magnitude [Ramesh &amp; Bilal, 2022]. Despite this, even mildly affected patients show a 22% force production deficit at the elbow [Ingram et al., 2021]. Existing wearable technology fails PD patients in three ways: per-session manual calibration, unreliable noisy sensing, and a lack of multimodal PD-specific datasets needed to train generalisable devices [ResearchGate, 2023; arXiv, 2025]. Despite a 90% interest in medical wearables, only 8% of PD patients adopt them [Hirczy et al., 2024].</w:t>
      </w:r>
    </w:p>
    <w:p>
      <w:pPr>
        <w:spacing w:before="0" w:after="80" w:line="240" w:lineRule="exact"/>
        <w:jc w:val="both"/>
      </w:pPr>
      <w:r>
        <w:rPr>
          <w:rFonts w:ascii="Times New Roman" w:hAnsi="Times New Roman"/>
          <w:b w:val="0"/>
          <w:i w:val="0"/>
          <w:sz w:val="20"/>
          <w:u w:val="none"/>
        </w:rPr>
        <w:t>Elbow exoskeletons have evolved significantly since early devices relied on rigid trajectory control, where the controller moved the joint through a fixed path regardless of user effort—a system that becomes inflexible when patient states constantly change [Gasperina et al., 2021; PMC, 2022]. As reviewed by Supriyono et al. (2025), the elbow joint is the most targeted joint in upper-limb exoskeleton design, yet control strategies have historically required patient-specific and session-specific parameter tuning that cannot account for short- and long-term severity fluctuations. The field has progressively shifted toward intent-detection using myoelectric signals; EMG captures continuous, multi-channel neural drive data reflecting both movement intention and muscle activation state, but surface EMG remains highly susceptible to noise and session-to-session variability—barriers compounded in PD patients whose neural drive signals carry abnormal bursting patterns from basal ganglia dysfunction [Supriyono et al., 2025; MDPI, 2025].</w:t>
      </w:r>
    </w:p>
    <w:p>
      <w:pPr>
        <w:spacing w:before="0" w:after="80" w:line="240" w:lineRule="exact"/>
        <w:jc w:val="both"/>
      </w:pPr>
      <w:r>
        <w:rPr>
          <w:rFonts w:ascii="Times New Roman" w:hAnsi="Times New Roman"/>
          <w:b w:val="0"/>
          <w:i w:val="0"/>
          <w:sz w:val="20"/>
          <w:u w:val="none"/>
        </w:rPr>
        <w:t>Deep reinforcement learning (DRL) addresses this directly: rather than calibrating to a fixed patient profile, a DRL policy trained across a diverse distribution of patient conditions learns to generalise without manual re-tuning between sessions. Luo et al. (2024) validated this principle when training a hip exoskeleton entirely in simulation and deploying it to real hardware without a single human experiment, achieving a 24.3% reduction in metabolic walking cost. Endrei et al. (2025) applied DRL specifically to PD, demonstrating tremor suppression at the elbow and shoulder across dynamic movements. Despite this, no prior work has trained an autonomous elbow exoskeleton controller for muscular degeneration and bradykinesia—the defined characteristics of PD motor impairments. The absence of real multimodal PD patient datasets makes simulation-based training the only viable path, and no existing framework has constructed a proper environment to do this for exoskeletons.</w:t>
      </w:r>
    </w:p>
    <w:p>
      <w:pPr>
        <w:spacing w:before="0" w:after="80" w:line="240" w:lineRule="exact"/>
        <w:jc w:val="both"/>
      </w:pPr>
      <w:r>
        <w:rPr>
          <w:rFonts w:ascii="Times New Roman" w:hAnsi="Times New Roman"/>
          <w:b w:val="0"/>
          <w:i w:val="0"/>
          <w:sz w:val="20"/>
          <w:u w:val="none"/>
        </w:rPr>
        <w:t>ReGainX addresses this with a three-phase multi-agent DRL framework. Using MyoSuite’s high-fidelity musculoskeletal simulator [Caggiano et al., 2022], we first train a healthy digital twin of the human elbow with DRL, then simultaneously apply randomised severities of muscular degeneration and bradykinesia to generate a distribution of PD digital twins, and finally train a DRL exoskeleton agent against the frozen PD controller across approximately 20,000 distinct PD patient profiles. The objective of this paper is to assess whether deep reinforcement learning can produce an autonomous elbow exoskeleton controller that provides real-time, adaptive mitigation of motor impairments at the elbow across diverse PD patients.</w:t>
      </w:r>
    </w:p>
    <w:p>
      <w:pPr>
        <w:spacing w:before="200" w:after="80" w:line="280" w:lineRule="exact"/>
        <w:jc w:val="left"/>
      </w:pPr>
      <w:r>
        <w:rPr>
          <w:rFonts w:ascii="Times New Roman" w:hAnsi="Times New Roman"/>
          <w:b/>
          <w:i w:val="0"/>
          <w:sz w:val="24"/>
          <w:u w:val="none"/>
        </w:rPr>
        <w:t>2  RELATED WORK</w:t>
      </w:r>
    </w:p>
    <w:p>
      <w:pPr>
        <w:spacing w:before="160" w:after="60" w:line="240" w:lineRule="exact"/>
        <w:jc w:val="left"/>
      </w:pPr>
      <w:r>
        <w:rPr>
          <w:rFonts w:ascii="Times New Roman" w:hAnsi="Times New Roman"/>
          <w:b/>
          <w:i w:val="0"/>
          <w:sz w:val="20"/>
          <w:u w:val="none"/>
        </w:rPr>
        <w:t>2.1  Control Strategies for Upper-Limb Exoskeletons</w:t>
      </w:r>
    </w:p>
    <w:p>
      <w:pPr>
        <w:spacing w:before="0" w:after="80" w:line="240" w:lineRule="exact"/>
        <w:jc w:val="both"/>
      </w:pPr>
      <w:r>
        <w:rPr>
          <w:rFonts w:ascii="Times New Roman" w:hAnsi="Times New Roman"/>
          <w:b w:val="0"/>
          <w:i w:val="0"/>
          <w:sz w:val="20"/>
          <w:u w:val="none"/>
        </w:rPr>
        <w:t>Elbow exoskeletons have evolved across three distinct control generations. First-generation devices applied forces independently of voluntary human activity—an approach fundamentally unsuited to patients with non-constant impairment levels [Gasperina et al., 2021]. The logical successor, intent-detection through surface EMG, allows devices to respond to neural drive signals. Supriyono et al. (2025) confirm that EMG and IMU sensing now dominate the field precisely because of their low cost and high information density. However, the same review identifies sEMG noise, electrode placement shifts, and IMU drift as the primary barriers preventing reliable cross-patient generalisation [Supriyono et al., 2025].</w:t>
      </w:r>
    </w:p>
    <w:p>
      <w:pPr>
        <w:spacing w:before="160" w:after="60" w:line="240" w:lineRule="exact"/>
        <w:jc w:val="left"/>
      </w:pPr>
      <w:r>
        <w:rPr>
          <w:rFonts w:ascii="Times New Roman" w:hAnsi="Times New Roman"/>
          <w:b/>
          <w:i w:val="0"/>
          <w:sz w:val="20"/>
          <w:u w:val="none"/>
        </w:rPr>
        <w:t>2.2  Exoskeleton Research in Parkinson’s Disease</w:t>
      </w:r>
    </w:p>
    <w:p>
      <w:pPr>
        <w:spacing w:before="0" w:after="80" w:line="240" w:lineRule="exact"/>
        <w:jc w:val="both"/>
      </w:pPr>
      <w:r>
        <w:rPr>
          <w:rFonts w:ascii="Times New Roman" w:hAnsi="Times New Roman"/>
          <w:b w:val="0"/>
          <w:i w:val="0"/>
          <w:sz w:val="20"/>
          <w:u w:val="none"/>
        </w:rPr>
        <w:t>Despite the scale of PD as a motor disorder, published exoskeleton work targeting PD patients remains strikingly sparse. Fortunati et al. (2024) conducted a systematic review of powered lower-limb exoskeletons in PD gait training and found only five original studies involving 46 patients total—all stable on medication, all at Hoehn and Yahr stages below 3. None used adaptive or learning-based control. Furthermore, all five studies addressed gait, with zero coverage of upper limb function. The elbow—a major site of PD motor decline—has not been the target of any published PD-specific exoskeleton study to date, and there is currently no standardised assessment or targeted intervention for upper limb function in PD rehabilitation [Capato et al., 2023].</w:t>
      </w:r>
    </w:p>
    <w:p>
      <w:pPr>
        <w:spacing w:before="160" w:after="60" w:line="240" w:lineRule="exact"/>
        <w:jc w:val="left"/>
      </w:pPr>
      <w:r>
        <w:rPr>
          <w:rFonts w:ascii="Times New Roman" w:hAnsi="Times New Roman"/>
          <w:b/>
          <w:i w:val="0"/>
          <w:sz w:val="20"/>
          <w:u w:val="none"/>
        </w:rPr>
        <w:t>2.3  Deep Reinforcement Learning for Exoskeleton Control</w:t>
      </w:r>
    </w:p>
    <w:p>
      <w:pPr>
        <w:spacing w:before="0" w:after="80" w:line="240" w:lineRule="exact"/>
        <w:jc w:val="both"/>
      </w:pPr>
      <w:r>
        <w:rPr>
          <w:rFonts w:ascii="Times New Roman" w:hAnsi="Times New Roman"/>
          <w:b w:val="0"/>
          <w:i w:val="0"/>
          <w:sz w:val="20"/>
          <w:u w:val="none"/>
        </w:rPr>
        <w:t>The recognised limitation of static, patient-specific controllers has motivated a shift toward DRL. Luo et al. (2023) presented the first DRL controller for a lower-limb rehabilitation exoskeleton trained on a coupled musculoskeletal model, using domain randomisation of muscle strength across quadriplegic, muscle-weakness, and hemiplegic conditions. Luo et al. (2024) extended this to experiment-free deployment. Endrei et al. (2025) applied DRL specifically to PD tremor suppression. However, none of these works model the simultaneous interaction of muscular degeneration and bradykinesia, nor construct a multi-agent environment where a simulated patient and an exoskeleton agent co-exist during training.</w:t>
      </w:r>
    </w:p>
    <w:p>
      <w:pPr>
        <w:spacing w:before="160" w:after="60" w:line="240" w:lineRule="exact"/>
        <w:jc w:val="left"/>
      </w:pPr>
      <w:r>
        <w:rPr>
          <w:rFonts w:ascii="Times New Roman" w:hAnsi="Times New Roman"/>
          <w:b/>
          <w:i w:val="0"/>
          <w:sz w:val="20"/>
          <w:u w:val="none"/>
        </w:rPr>
        <w:t>2.4  Musculoskeletal Simulation as a Training Foundation</w:t>
      </w:r>
    </w:p>
    <w:p>
      <w:pPr>
        <w:spacing w:before="0" w:after="80" w:line="240" w:lineRule="exact"/>
        <w:jc w:val="both"/>
      </w:pPr>
      <w:r>
        <w:rPr>
          <w:rFonts w:ascii="Times New Roman" w:hAnsi="Times New Roman"/>
          <w:b w:val="0"/>
          <w:i w:val="0"/>
          <w:sz w:val="20"/>
          <w:u w:val="none"/>
        </w:rPr>
        <w:t>The absence of PD datasets makes high-fidelity simulation the most viable training framework. Caggiano et al. (2022) introduced MyoSuite, a contact-rich musculoskeletal simulation suite built on MuJoCo that supports the modelling of physiological impairments—including fatigue and sarcopenia—as native non-stationarities. Wang et al. (2022) extended this with MyoSim, operating over two orders of magnitude faster than prior tools, making large episode counts computationally feasible. No prior work has applied these capabilities to train a PD-specific elbow exoskeleton controller under combined muscular degeneration and bradykinesia.</w:t>
      </w:r>
    </w:p>
    <w:p>
      <w:pPr>
        <w:spacing w:before="200" w:after="80" w:line="280" w:lineRule="exact"/>
        <w:jc w:val="left"/>
      </w:pPr>
      <w:r>
        <w:rPr>
          <w:rFonts w:ascii="Times New Roman" w:hAnsi="Times New Roman"/>
          <w:b/>
          <w:i w:val="0"/>
          <w:sz w:val="24"/>
          <w:u w:val="none"/>
        </w:rPr>
        <w:t>3  PARKINSON’S DISEASE SIMULATION</w:t>
      </w:r>
    </w:p>
    <w:p>
      <w:pPr>
        <w:spacing w:before="160" w:after="60" w:line="240" w:lineRule="exact"/>
        <w:jc w:val="left"/>
      </w:pPr>
      <w:r>
        <w:rPr>
          <w:rFonts w:ascii="Times New Roman" w:hAnsi="Times New Roman"/>
          <w:b/>
          <w:i w:val="0"/>
          <w:sz w:val="20"/>
          <w:u w:val="none"/>
        </w:rPr>
        <w:t>3.1  Musculoskeletal Model and Joint Scope</w:t>
      </w:r>
    </w:p>
    <w:p>
      <w:pPr>
        <w:spacing w:before="0" w:after="80" w:line="240" w:lineRule="exact"/>
        <w:jc w:val="both"/>
      </w:pPr>
      <w:r>
        <w:rPr>
          <w:rFonts w:ascii="Times New Roman" w:hAnsi="Times New Roman"/>
          <w:b w:val="0"/>
          <w:i w:val="0"/>
          <w:sz w:val="20"/>
          <w:u w:val="none"/>
        </w:rPr>
        <w:t>ReGainX’s digital twins are built within MyoSuite’s myoElbow environment, a 6-muscle elbow model embedded in MuJoCo’s physics engine, comprising three primary flexors—BIClong, BICshort, and BRA—and three primary extensors—TRIlong, TRIlat, and TRImed [Caggiano et al., 2022]. Muscle force generation follows Hill-type muscle-tendon dynamics, in which each muscle’s contractile force depends on its activation level, fiber operating length, and contraction velocity [Zajac, 1989]. The resulting joint torque is expressed through the rigid-body equation of motion:</w:t>
      </w:r>
    </w:p>
    <w:p>
      <w:pPr>
        <w:spacing w:before="80" w:after="80"/>
        <w:jc w:val="center"/>
      </w:pPr>
      <w:r>
        <w:rPr>
          <w:rFonts w:ascii="Times New Roman" w:hAnsi="Times New Roman"/>
          <w:b w:val="0"/>
          <w:i w:val="0"/>
          <w:sz w:val="20"/>
          <w:u w:val="none"/>
        </w:rPr>
        <w:t>τ = M(q)äq + C(q, ṁq)ṁq + G(q)     (1)</w:t>
      </w:r>
    </w:p>
    <w:p>
      <w:pPr>
        <w:spacing w:before="0" w:after="80" w:line="240" w:lineRule="exact"/>
        <w:jc w:val="both"/>
      </w:pPr>
      <w:r>
        <w:rPr>
          <w:rFonts w:ascii="Times New Roman" w:hAnsi="Times New Roman"/>
          <w:b w:val="0"/>
          <w:i w:val="0"/>
          <w:sz w:val="20"/>
          <w:u w:val="none"/>
        </w:rPr>
        <w:t>where M(q) is the inertia matrix, C(q, ṁq) captures Coriolis and centrifugal forces, and G(q) is the gravitational torque vector. The simulated joint operates over 0 to 2.4 rad (≈138°), consistent with the clinically established active range of motion [Cools et al., 2017; Morrey et al., 1981]. The exoskeleton provides a normalised torque τ_exo ∈ [0,1], representing a fraction of the biological joint torque capacity [Durandau et al., 2019].</w:t>
      </w:r>
    </w:p>
    <w:p>
      <w:pPr>
        <w:spacing w:before="0" w:after="80" w:line="240" w:lineRule="exact"/>
        <w:jc w:val="both"/>
      </w:pPr>
      <w:r>
        <w:rPr>
          <w:rFonts w:ascii="Times New Roman" w:hAnsi="Times New Roman"/>
          <w:b w:val="0"/>
          <w:i w:val="0"/>
          <w:sz w:val="20"/>
          <w:u w:val="none"/>
        </w:rPr>
        <w:t>The elbow is targeted for two clinical reasons: elbow extensors show the largest force production deficit (22%) even in mildly affected, medicated PD patients [Ingram et al., 2021], and the hand-to-mouth movement—essential for eating and drinking—is significantly altered in PD through reduced elbow flexion velocity and range of motion, correlating with UPDRS-III scores [Caligiuri et al., 2018].</w:t>
      </w:r>
    </w:p>
    <w:p>
      <w:pPr>
        <w:spacing w:before="160" w:after="60" w:line="240" w:lineRule="exact"/>
        <w:jc w:val="left"/>
      </w:pPr>
      <w:r>
        <w:rPr>
          <w:rFonts w:ascii="Times New Roman" w:hAnsi="Times New Roman"/>
          <w:b/>
          <w:i w:val="0"/>
          <w:sz w:val="20"/>
          <w:u w:val="none"/>
        </w:rPr>
        <w:t>3.2  Muscular Degeneration Model</w:t>
      </w:r>
    </w:p>
    <w:p>
      <w:pPr>
        <w:spacing w:before="0" w:after="80" w:line="240" w:lineRule="exact"/>
        <w:jc w:val="both"/>
      </w:pPr>
      <w:r>
        <w:rPr>
          <w:rFonts w:ascii="Times New Roman" w:hAnsi="Times New Roman"/>
          <w:b w:val="0"/>
          <w:i w:val="0"/>
          <w:sz w:val="20"/>
          <w:u w:val="none"/>
        </w:rPr>
        <w:t>Muscular degeneration in PD arises from sarcopenia (OR 3.98 vs. controls, prevalence 10.9–31.4%) and chronic muscle fatigue (pooled prevalence ≈50%) [Hart et al., 2023; Ponsoni et al., 2023; Siciliano et al., 2024]. ReGainX adopts the combined degeneration equation from the MyoSuite framework [Caggiano et al., 2022]:</w:t>
      </w:r>
    </w:p>
    <w:p>
      <w:pPr>
        <w:spacing w:before="80" w:after="80"/>
        <w:jc w:val="center"/>
      </w:pPr>
      <w:r>
        <w:rPr>
          <w:rFonts w:ascii="Times New Roman" w:hAnsi="Times New Roman"/>
          <w:b w:val="0"/>
          <w:i w:val="0"/>
          <w:sz w:val="20"/>
          <w:u w:val="none"/>
        </w:rPr>
        <w:t>F_deg = α₁ · F_max · exp(−(α₂ + βt)) = m_loss · m_fati     (2)</w:t>
      </w:r>
    </w:p>
    <w:p>
      <w:pPr>
        <w:spacing w:before="0" w:after="80" w:line="240" w:lineRule="exact"/>
        <w:jc w:val="both"/>
      </w:pPr>
      <w:r>
        <w:rPr>
          <w:rFonts w:ascii="Times New Roman" w:hAnsi="Times New Roman"/>
          <w:b w:val="0"/>
          <w:i w:val="0"/>
          <w:sz w:val="20"/>
          <w:u w:val="none"/>
        </w:rPr>
        <w:t>where α₁ ∈ [0,1] is the sarcopenic mass-loss factor, α₂ ∈ [0,1] is the fatigue onset parameter (weighted toward higher values reflecting patients who require assistance), and β is held at MyoSuite’s default value from the Cheema et al. (2020) three-compartment fatigue model. All parameters are independently randomised per episode.</w:t>
      </w:r>
    </w:p>
    <w:p>
      <w:pPr>
        <w:spacing w:before="160" w:after="60" w:line="240" w:lineRule="exact"/>
        <w:jc w:val="left"/>
      </w:pPr>
      <w:r>
        <w:rPr>
          <w:rFonts w:ascii="Times New Roman" w:hAnsi="Times New Roman"/>
          <w:b/>
          <w:i w:val="0"/>
          <w:sz w:val="20"/>
          <w:u w:val="none"/>
        </w:rPr>
        <w:t>3.3  Bradykinesia Model</w:t>
      </w:r>
    </w:p>
    <w:p>
      <w:pPr>
        <w:spacing w:before="0" w:after="80" w:line="240" w:lineRule="exact"/>
        <w:jc w:val="both"/>
      </w:pPr>
      <w:r>
        <w:rPr>
          <w:rFonts w:ascii="Times New Roman" w:hAnsi="Times New Roman"/>
          <w:b w:val="0"/>
          <w:i w:val="0"/>
          <w:sz w:val="20"/>
          <w:u w:val="none"/>
        </w:rPr>
        <w:t>Bradykinesia produces two quantifiable deficits: a delay in movement initiation and a reduction in movement speed and amplitude. Off-medication PD patients move 41% slower than controls with 29% shorter displacement [Agostino et al., 2015]. ReGainX models bradykinesia as:</w:t>
      </w:r>
    </w:p>
    <w:p>
      <w:pPr>
        <w:spacing w:before="80" w:after="80"/>
        <w:jc w:val="center"/>
      </w:pPr>
      <w:r>
        <w:rPr>
          <w:rFonts w:ascii="Times New Roman" w:hAnsi="Times New Roman"/>
          <w:b w:val="0"/>
          <w:i w:val="0"/>
          <w:sz w:val="20"/>
          <w:u w:val="none"/>
        </w:rPr>
        <w:t>N_brady = x(i − Δi) · α     (3)</w:t>
      </w:r>
    </w:p>
    <w:p>
      <w:pPr>
        <w:spacing w:before="0" w:after="80" w:line="240" w:lineRule="exact"/>
        <w:jc w:val="both"/>
      </w:pPr>
      <w:r>
        <w:rPr>
          <w:rFonts w:ascii="Times New Roman" w:hAnsi="Times New Roman"/>
          <w:b w:val="0"/>
          <w:i w:val="0"/>
          <w:sz w:val="20"/>
          <w:u w:val="none"/>
        </w:rPr>
        <w:t>where Δi ∈ [1.1, 1.4] is a temporal scaling factor (an action taking 1.0 s healthy takes 1.1–1.4 s in the PD patient) and α ∈ [0.3, 1.0] scales the movement amplitude, reproducing the 29–41% reduction documented clinically [Agostino et al., 2015; Raethjen et al., 2018].</w:t>
      </w:r>
    </w:p>
    <w:p>
      <w:pPr>
        <w:spacing w:before="160" w:after="60" w:line="240" w:lineRule="exact"/>
        <w:jc w:val="left"/>
      </w:pPr>
      <w:r>
        <w:rPr>
          <w:rFonts w:ascii="Times New Roman" w:hAnsi="Times New Roman"/>
          <w:b/>
          <w:i w:val="0"/>
          <w:sz w:val="20"/>
          <w:u w:val="none"/>
        </w:rPr>
        <w:t>3.4  Combined PD Severity and Episode Diversity</w:t>
      </w:r>
    </w:p>
    <w:p>
      <w:pPr>
        <w:spacing w:before="0" w:after="80" w:line="240" w:lineRule="exact"/>
        <w:jc w:val="both"/>
      </w:pPr>
      <w:r>
        <w:rPr>
          <w:rFonts w:ascii="Times New Roman" w:hAnsi="Times New Roman"/>
          <w:b w:val="0"/>
          <w:i w:val="0"/>
          <w:sz w:val="20"/>
          <w:u w:val="none"/>
        </w:rPr>
        <w:t>Both impairments are applied simultaneously across all training episodes: the patient model has degraded peak force capacity and delayed, attenuated movement. The composite PD severity of each episode is parameterised across both impairment scales, with start angle and target goal angle randomised uniformly over [0, 2.4] rad. The policy encounters no two identical patient profiles during training and must generalise across the full clinical spectrum.</w:t>
      </w:r>
    </w:p>
    <w:p>
      <w:pPr>
        <w:spacing w:before="0" w:after="80" w:line="240" w:lineRule="exact"/>
        <w:jc w:val="both"/>
      </w:pPr>
      <w:r>
        <w:rPr>
          <w:rFonts w:ascii="Times New Roman" w:hAnsi="Times New Roman"/>
          <w:b w:val="0"/>
          <w:i w:val="0"/>
          <w:sz w:val="20"/>
          <w:u w:val="none"/>
        </w:rPr>
        <w:t>Figure 2 illustrates the effect of each impairment on muscle activation and joint trajectory.</w:t>
      </w:r>
    </w:p>
    <w:p>
      <w:pPr>
        <w:spacing w:before="120" w:after="120"/>
        <w:jc w:val="center"/>
      </w:pPr>
      <w:r>
        <w:rPr>
          <w:rFonts w:ascii="Times New Roman" w:hAnsi="Times New Roman"/>
          <w:b w:val="0"/>
          <w:i/>
          <w:sz w:val="18"/>
          <w:u w:val="none"/>
        </w:rPr>
        <w:t>[Figure 2: Parkinsonian motor-deficit model — see fig2_pd_modeling.pdf]</w:t>
      </w:r>
    </w:p>
    <w:p>
      <w:pPr>
        <w:spacing w:before="200" w:after="80" w:line="280" w:lineRule="exact"/>
        <w:jc w:val="left"/>
      </w:pPr>
      <w:r>
        <w:rPr>
          <w:rFonts w:ascii="Times New Roman" w:hAnsi="Times New Roman"/>
          <w:b/>
          <w:i w:val="0"/>
          <w:sz w:val="24"/>
          <w:u w:val="none"/>
        </w:rPr>
        <w:t>4  METHODOLOGY</w:t>
      </w:r>
    </w:p>
    <w:p>
      <w:pPr>
        <w:spacing w:before="160" w:after="60" w:line="240" w:lineRule="exact"/>
        <w:jc w:val="left"/>
      </w:pPr>
      <w:r>
        <w:rPr>
          <w:rFonts w:ascii="Times New Roman" w:hAnsi="Times New Roman"/>
          <w:b/>
          <w:i w:val="0"/>
          <w:sz w:val="20"/>
          <w:u w:val="none"/>
        </w:rPr>
        <w:t>4.1  Safety Design</w:t>
      </w:r>
    </w:p>
    <w:p>
      <w:pPr>
        <w:spacing w:before="0" w:after="80" w:line="240" w:lineRule="exact"/>
        <w:jc w:val="both"/>
      </w:pPr>
      <w:r>
        <w:rPr>
          <w:rFonts w:ascii="Times New Roman" w:hAnsi="Times New Roman"/>
          <w:b w:val="0"/>
          <w:i w:val="0"/>
          <w:sz w:val="20"/>
          <w:u w:val="none"/>
        </w:rPr>
        <w:t>The MyoSuite exoskeleton model incorporates an upper-arm attachment (0.101 kg) and a forearm attachment (0.111 kg), for a combined simulated weight of 0.212 kg—within the 0.2–0.5 kg range identified as feasible for patients with reduced arm strength [PMC, 2025a; PMC, 2025b]. A healthy elbow controller evaluated with the exoskeleton mass attached achieved perfect trajectory match, confirming the modelled weight does not interfere with voluntary movement.</w:t>
      </w:r>
    </w:p>
    <w:p>
      <w:pPr>
        <w:spacing w:before="0" w:after="80" w:line="240" w:lineRule="exact"/>
        <w:jc w:val="both"/>
      </w:pPr>
      <w:r>
        <w:rPr>
          <w:rFonts w:ascii="Times New Roman" w:hAnsi="Times New Roman"/>
          <w:b w:val="0"/>
          <w:i w:val="0"/>
          <w:sz w:val="20"/>
          <w:u w:val="none"/>
        </w:rPr>
        <w:t>Two explicit safety constraints are enforced by the environment. First, the joint angle is hard-capped at 2.4 rad, the anatomically established upper limit of active elbow flexion [Cools et al., 2017]. Second, exoskeleton torque is normalised to [0,1] as a fraction of biological joint torque; the exoskeleton cannot deliver more torque than the joint’s own biological capacity.</w:t>
      </w:r>
    </w:p>
    <w:p>
      <w:pPr>
        <w:spacing w:before="160" w:after="60" w:line="240" w:lineRule="exact"/>
        <w:jc w:val="left"/>
      </w:pPr>
      <w:r>
        <w:rPr>
          <w:rFonts w:ascii="Times New Roman" w:hAnsi="Times New Roman"/>
          <w:b/>
          <w:i w:val="0"/>
          <w:sz w:val="20"/>
          <w:u w:val="none"/>
        </w:rPr>
        <w:t>4.2  Multi-Agent Training Framework</w:t>
      </w:r>
    </w:p>
    <w:p>
      <w:pPr>
        <w:spacing w:before="0" w:after="80" w:line="240" w:lineRule="exact"/>
        <w:jc w:val="both"/>
      </w:pPr>
      <w:r>
        <w:rPr>
          <w:rFonts w:ascii="Times New Roman" w:hAnsi="Times New Roman"/>
          <w:b w:val="0"/>
          <w:i w:val="0"/>
          <w:sz w:val="20"/>
          <w:u w:val="none"/>
        </w:rPr>
        <w:t>ReGainX implements a three-phase pipeline (Figure 1), sequentially developing a healthy musculoskeletal controller, a simulated PD patient, and an exoskeleton agent. The patient controller is frozen before exoskeleton training begins to prevent co-adaptation: if both agents trained simultaneously, the patient model could learn to move in unnatural patterns that inflate the reward—a failure that would not transfer to real patients whose movement patterns are not shaped by the device. ReGainX is designed so the exoskeleton adapts to the patient, not vice versa.</w:t>
      </w:r>
    </w:p>
    <w:p>
      <w:pPr>
        <w:spacing w:before="120" w:after="120"/>
        <w:jc w:val="center"/>
      </w:pPr>
      <w:r>
        <w:rPr>
          <w:rFonts w:ascii="Times New Roman" w:hAnsi="Times New Roman"/>
          <w:b w:val="0"/>
          <w:i/>
          <w:sz w:val="18"/>
          <w:u w:val="none"/>
        </w:rPr>
        <w:t>[Figure 1: Three-phase ReGainX training pipeline — see fig1_pipeline.pdf]</w:t>
      </w:r>
    </w:p>
    <w:p>
      <w:pPr>
        <w:spacing w:before="0" w:after="80" w:line="240" w:lineRule="exact"/>
        <w:jc w:val="both"/>
      </w:pPr>
      <w:r>
        <w:rPr>
          <w:rFonts w:ascii="Times New Roman" w:hAnsi="Times New Roman"/>
          <w:b/>
          <w:i w:val="0"/>
          <w:sz w:val="20"/>
          <w:u w:val="none"/>
        </w:rPr>
        <w:t xml:space="preserve">Phase 1 — Healthy Controller Training.  </w:t>
      </w:r>
      <w:r>
        <w:rPr>
          <w:rFonts w:ascii="Times New Roman" w:hAnsi="Times New Roman"/>
          <w:b w:val="0"/>
          <w:i w:val="0"/>
          <w:sz w:val="20"/>
          <w:u w:val="none"/>
        </w:rPr>
        <w:t>A musculoskeletal elbow controller is trained on myoElbowPose1D6MRandom-v0—a healthy 6-muscle elbow model—via PPO [Raffin et al., 2021] for 250,000 timesteps, with policy updates every 2,048 steps. The action space is the 6-dimensional neural drive signal. The reward is given each timestep, scaled to how much closer the joint moved toward the target angle. Both starting and target angles are drawn uniformly from [0, 2.4] rad per episode.</w:t>
      </w:r>
    </w:p>
    <w:p>
      <w:pPr>
        <w:spacing w:before="0" w:after="80" w:line="240" w:lineRule="exact"/>
        <w:jc w:val="both"/>
      </w:pPr>
      <w:r>
        <w:rPr>
          <w:rFonts w:ascii="Times New Roman" w:hAnsi="Times New Roman"/>
          <w:b/>
          <w:i w:val="0"/>
          <w:sz w:val="20"/>
          <w:u w:val="none"/>
        </w:rPr>
        <w:t xml:space="preserve">Phase 2 — Parkinson’s Patient Controller Setup.  </w:t>
      </w:r>
      <w:r>
        <w:rPr>
          <w:rFonts w:ascii="Times New Roman" w:hAnsi="Times New Roman"/>
          <w:b w:val="0"/>
          <w:i w:val="0"/>
          <w:sz w:val="20"/>
          <w:u w:val="none"/>
        </w:rPr>
        <w:t>The healthy controller is transferred unchanged to the PD-impaired environment (Section 3). Joint position errors increase, targets are missed, and reduced peak force combined with slowed activation dynamics creates a realistic impaired profile. Randomising impairment parameters alongside starting and target angles per episode generates ≈20,000 distinct patient profiles—serving as a simulation-based alternative to real PD datasets, which are scarce [ResearchGate, 2023; arXiv, 2025]. The controller is then frozen, representing a PD patient still attempting voluntary movement but unable to complete it.</w:t>
      </w:r>
    </w:p>
    <w:p>
      <w:pPr>
        <w:spacing w:before="0" w:after="80" w:line="240" w:lineRule="exact"/>
        <w:jc w:val="both"/>
      </w:pPr>
      <w:r>
        <w:rPr>
          <w:rFonts w:ascii="Times New Roman" w:hAnsi="Times New Roman"/>
          <w:b/>
          <w:i w:val="0"/>
          <w:sz w:val="20"/>
          <w:u w:val="none"/>
        </w:rPr>
        <w:t xml:space="preserve">Phase 3 — Exoskeleton Agent Training.  </w:t>
      </w:r>
      <w:r>
        <w:rPr>
          <w:rFonts w:ascii="Times New Roman" w:hAnsi="Times New Roman"/>
          <w:b w:val="0"/>
          <w:i w:val="0"/>
          <w:sz w:val="20"/>
          <w:u w:val="none"/>
        </w:rPr>
        <w:t>With the PD controller frozen, the exoskeleton agent is initialised and trained for 2,000,000 timesteps using RecurrentPPO. Both agents act within the same environment each timestep. The exoskeleton agent receives an 8-dimensional observation and outputs a single normalised torque τ_exo ∈ [0,1].</w:t>
      </w:r>
    </w:p>
    <w:p>
      <w:pPr>
        <w:spacing w:before="0" w:after="80" w:line="240" w:lineRule="exact"/>
        <w:jc w:val="both"/>
      </w:pPr>
      <w:r>
        <w:rPr>
          <w:rFonts w:ascii="Times New Roman" w:hAnsi="Times New Roman"/>
          <w:b w:val="0"/>
          <w:i w:val="0"/>
          <w:sz w:val="20"/>
          <w:u w:val="none"/>
        </w:rPr>
        <w:t>The observation space satisfies the Markov property: it consists of the 6 current muscle activations from the patient controller, the current joint angle q, and the current joint velocity ṁq. Velocity encodes the rate of joint state change without requiring access to prior states. The target angle and starting angle are excluded: it is not feasible to input precise joint angles every millisecond in deployment, and it is impossible to extract the patient’s intended target from neural signals. Patient diversity is achieved through continuous domain randomisation of force_scale, activation_slowdown, and muscle fatigue fraction at each episode.</w:t>
      </w:r>
    </w:p>
    <w:p>
      <w:pPr>
        <w:spacing w:before="160" w:after="60" w:line="240" w:lineRule="exact"/>
        <w:jc w:val="left"/>
      </w:pPr>
      <w:r>
        <w:rPr>
          <w:rFonts w:ascii="Times New Roman" w:hAnsi="Times New Roman"/>
          <w:b/>
          <w:i w:val="0"/>
          <w:sz w:val="20"/>
          <w:u w:val="none"/>
        </w:rPr>
        <w:t>4.3  Policy Architecture</w:t>
      </w:r>
    </w:p>
    <w:p>
      <w:pPr>
        <w:spacing w:before="0" w:after="80" w:line="240" w:lineRule="exact"/>
        <w:jc w:val="both"/>
      </w:pPr>
      <w:r>
        <w:rPr>
          <w:rFonts w:ascii="Times New Roman" w:hAnsi="Times New Roman"/>
          <w:b w:val="0"/>
          <w:i w:val="0"/>
          <w:sz w:val="20"/>
          <w:u w:val="none"/>
        </w:rPr>
        <w:t>The exoskeleton policy is a RecurrentPPO [Raffin &amp; Kanervisto, 2023], which augments the standard PPO actor-critic framework with an LSTM layer between the observation input and the policy head. At each timestep, the LSTM maintains a cell state and hidden state carried forward across timesteps within an episode. At episode boundaries both states are reset, ensuring the policy re-initialises its temporal context for each new patient profile.</w:t>
      </w:r>
    </w:p>
    <w:p>
      <w:pPr>
        <w:spacing w:before="0" w:after="80" w:line="240" w:lineRule="exact"/>
        <w:jc w:val="both"/>
      </w:pPr>
      <w:r>
        <w:rPr>
          <w:rFonts w:ascii="Times New Roman" w:hAnsi="Times New Roman"/>
          <w:b w:val="0"/>
          <w:i w:val="0"/>
          <w:sz w:val="20"/>
          <w:u w:val="none"/>
        </w:rPr>
        <w:t>This formulates the control problem as a Partially Observable Markov Decision Process (POMDP): the observation deliberately excludes the user’s goal angle. The LSTM builds up evidence about the patient’s activation pattern over a movement, allowing the policy to infer the direction of intended movement and the degree to which impairment will prevent its completion. A feedforward policy acting only on the current observation cannot distinguish a progressively fatiguing patient from one at a stable impairment level.</w:t>
      </w:r>
    </w:p>
    <w:p>
      <w:pPr>
        <w:spacing w:before="0" w:after="80" w:line="240" w:lineRule="exact"/>
        <w:jc w:val="both"/>
      </w:pPr>
      <w:r>
        <w:rPr>
          <w:rFonts w:ascii="Times New Roman" w:hAnsi="Times New Roman"/>
          <w:b w:val="0"/>
          <w:i w:val="0"/>
          <w:sz w:val="20"/>
          <w:u w:val="none"/>
        </w:rPr>
        <w:t>A shorter rollout of n_steps = 256 was used (vs. 2,048 in Phase 1) to produce more frequent LSTM state resets during training, amplifying the episode boundary signal and bounding truncated backpropagation through time to avoid vanishing gradients.</w:t>
      </w:r>
    </w:p>
    <w:p>
      <w:pPr>
        <w:spacing w:before="0" w:after="80" w:line="240" w:lineRule="exact"/>
        <w:jc w:val="both"/>
      </w:pPr>
      <w:r>
        <w:rPr>
          <w:rFonts w:ascii="Times New Roman" w:hAnsi="Times New Roman"/>
          <w:b w:val="0"/>
          <w:i w:val="0"/>
          <w:sz w:val="20"/>
          <w:u w:val="none"/>
        </w:rPr>
        <w:t>Training reward curves for all policies are shown in Figure 3.</w:t>
      </w:r>
    </w:p>
    <w:p>
      <w:pPr>
        <w:spacing w:before="120" w:after="120"/>
        <w:jc w:val="center"/>
      </w:pPr>
      <w:r>
        <w:rPr>
          <w:rFonts w:ascii="Times New Roman" w:hAnsi="Times New Roman"/>
          <w:b w:val="0"/>
          <w:i/>
          <w:sz w:val="18"/>
          <w:u w:val="none"/>
        </w:rPr>
        <w:t>[Figure 3: Training reward curves — see fig3_training_curves.pdf]</w:t>
      </w:r>
    </w:p>
    <w:p>
      <w:pPr>
        <w:spacing w:before="160" w:after="60" w:line="240" w:lineRule="exact"/>
        <w:jc w:val="left"/>
      </w:pPr>
      <w:r>
        <w:rPr>
          <w:rFonts w:ascii="Times New Roman" w:hAnsi="Times New Roman"/>
          <w:b/>
          <w:i w:val="0"/>
          <w:sz w:val="20"/>
          <w:u w:val="none"/>
        </w:rPr>
        <w:t>4.4  Hyperparameter Optimisation</w:t>
      </w:r>
    </w:p>
    <w:p>
      <w:pPr>
        <w:spacing w:before="0" w:after="80" w:line="240" w:lineRule="exact"/>
        <w:jc w:val="both"/>
      </w:pPr>
      <w:r>
        <w:rPr>
          <w:rFonts w:ascii="Times New Roman" w:hAnsi="Times New Roman"/>
          <w:b w:val="0"/>
          <w:i w:val="0"/>
          <w:sz w:val="20"/>
          <w:u w:val="none"/>
        </w:rPr>
        <w:t>Hyperparameters were selected through Bayesian optimisation using Optuna [Akiba et al., 2019] with a Tree-structured Parzen Estimator (TPE) sampler and a MedianPruner (5 startup trials, 2 warmup steps). Two studies were run—one for the MLP baseline and one for RecurrentPPO—each comprising 20 trials of 75,000 timesteps with a deterministic 10-episode evaluation to score each trial. The best configurations and study statistics are summarised in Table 1.</w:t>
      </w:r>
    </w:p>
    <w:p/>
    <w:p>
      <w:pPr>
        <w:spacing w:after="40"/>
        <w:jc w:val="center"/>
      </w:pPr>
      <w:r>
        <w:rPr>
          <w:rFonts w:ascii="Times New Roman" w:hAnsi="Times New Roman"/>
          <w:b/>
          <w:i w:val="0"/>
          <w:sz w:val="18"/>
          <w:u w:val="none"/>
        </w:rPr>
        <w:t>Table 1. Bayesian optimisation results.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i w:val="0"/>
                <w:sz w:val="18"/>
                <w:u w:val="none"/>
              </w:rPr>
              <w:t>Metric</w:t>
            </w:r>
          </w:p>
        </w:tc>
        <w:tc>
          <w:tcPr>
            <w:tcW w:type="dxa" w:w="3120"/>
          </w:tcPr>
          <w:p>
            <w:r/>
            <w:r>
              <w:rPr>
                <w:rFonts w:ascii="Times New Roman" w:hAnsi="Times New Roman"/>
                <w:b/>
                <w:i w:val="0"/>
                <w:sz w:val="18"/>
                <w:u w:val="none"/>
              </w:rPr>
              <w:t>MLP</w:t>
            </w:r>
          </w:p>
        </w:tc>
        <w:tc>
          <w:tcPr>
            <w:tcW w:type="dxa" w:w="3120"/>
          </w:tcPr>
          <w:p>
            <w:r/>
            <w:r>
              <w:rPr>
                <w:rFonts w:ascii="Times New Roman" w:hAnsi="Times New Roman"/>
                <w:b/>
                <w:i w:val="0"/>
                <w:sz w:val="18"/>
                <w:u w:val="none"/>
              </w:rPr>
              <w:t>RecurrentPPO</w:t>
            </w:r>
          </w:p>
        </w:tc>
      </w:tr>
      <w:tr>
        <w:tc>
          <w:tcPr>
            <w:tcW w:type="dxa" w:w="3120"/>
          </w:tcPr>
          <w:p>
            <w:r/>
            <w:r>
              <w:rPr>
                <w:rFonts w:ascii="Times New Roman" w:hAnsi="Times New Roman"/>
                <w:b w:val="0"/>
                <w:i w:val="0"/>
                <w:sz w:val="18"/>
                <w:u w:val="none"/>
              </w:rPr>
              <w:t>Completed / pruned trials</w:t>
            </w:r>
          </w:p>
        </w:tc>
        <w:tc>
          <w:tcPr>
            <w:tcW w:type="dxa" w:w="3120"/>
          </w:tcPr>
          <w:p>
            <w:r/>
            <w:r>
              <w:rPr>
                <w:rFonts w:ascii="Times New Roman" w:hAnsi="Times New Roman"/>
                <w:b w:val="0"/>
                <w:i w:val="0"/>
                <w:sz w:val="18"/>
                <w:u w:val="none"/>
              </w:rPr>
              <w:t>13 / 7</w:t>
            </w:r>
          </w:p>
        </w:tc>
        <w:tc>
          <w:tcPr>
            <w:tcW w:type="dxa" w:w="3120"/>
          </w:tcPr>
          <w:p>
            <w:r/>
            <w:r>
              <w:rPr>
                <w:rFonts w:ascii="Times New Roman" w:hAnsi="Times New Roman"/>
                <w:b w:val="0"/>
                <w:i w:val="0"/>
                <w:sz w:val="18"/>
                <w:u w:val="none"/>
              </w:rPr>
              <w:t>11 / 9</w:t>
            </w:r>
          </w:p>
        </w:tc>
      </w:tr>
      <w:tr>
        <w:tc>
          <w:tcPr>
            <w:tcW w:type="dxa" w:w="3120"/>
          </w:tcPr>
          <w:p>
            <w:r/>
            <w:r>
              <w:rPr>
                <w:rFonts w:ascii="Times New Roman" w:hAnsi="Times New Roman"/>
                <w:b w:val="0"/>
                <w:i w:val="0"/>
                <w:sz w:val="18"/>
                <w:u w:val="none"/>
              </w:rPr>
              <w:t>Reward range</w:t>
            </w:r>
          </w:p>
        </w:tc>
        <w:tc>
          <w:tcPr>
            <w:tcW w:type="dxa" w:w="3120"/>
          </w:tcPr>
          <w:p>
            <w:r/>
            <w:r>
              <w:rPr>
                <w:rFonts w:ascii="Times New Roman" w:hAnsi="Times New Roman"/>
                <w:b w:val="0"/>
                <w:i w:val="0"/>
                <w:sz w:val="18"/>
                <w:u w:val="none"/>
              </w:rPr>
              <w:t>−62.88–546.37</w:t>
            </w:r>
          </w:p>
        </w:tc>
        <w:tc>
          <w:tcPr>
            <w:tcW w:type="dxa" w:w="3120"/>
          </w:tcPr>
          <w:p>
            <w:r/>
            <w:r>
              <w:rPr>
                <w:rFonts w:ascii="Times New Roman" w:hAnsi="Times New Roman"/>
                <w:b w:val="0"/>
                <w:i w:val="0"/>
                <w:sz w:val="18"/>
                <w:u w:val="none"/>
              </w:rPr>
              <w:t>27.67–377.07</w:t>
            </w:r>
          </w:p>
        </w:tc>
      </w:tr>
      <w:tr>
        <w:tc>
          <w:tcPr>
            <w:tcW w:type="dxa" w:w="3120"/>
          </w:tcPr>
          <w:p>
            <w:r/>
            <w:r>
              <w:rPr>
                <w:rFonts w:ascii="Times New Roman" w:hAnsi="Times New Roman"/>
                <w:b w:val="0"/>
                <w:i w:val="0"/>
                <w:sz w:val="18"/>
                <w:u w:val="none"/>
              </w:rPr>
              <w:t>Mean reward</w:t>
            </w:r>
          </w:p>
        </w:tc>
        <w:tc>
          <w:tcPr>
            <w:tcW w:type="dxa" w:w="3120"/>
          </w:tcPr>
          <w:p>
            <w:r/>
            <w:r>
              <w:rPr>
                <w:rFonts w:ascii="Times New Roman" w:hAnsi="Times New Roman"/>
                <w:b w:val="0"/>
                <w:i w:val="0"/>
                <w:sz w:val="18"/>
                <w:u w:val="none"/>
              </w:rPr>
              <w:t>367.14 ± 190.40</w:t>
            </w:r>
          </w:p>
        </w:tc>
        <w:tc>
          <w:tcPr>
            <w:tcW w:type="dxa" w:w="3120"/>
          </w:tcPr>
          <w:p>
            <w:r/>
            <w:r>
              <w:rPr>
                <w:rFonts w:ascii="Times New Roman" w:hAnsi="Times New Roman"/>
                <w:b w:val="0"/>
                <w:i w:val="0"/>
                <w:sz w:val="18"/>
                <w:u w:val="none"/>
              </w:rPr>
              <w:t>143.91 ± 89.87</w:t>
            </w:r>
          </w:p>
        </w:tc>
      </w:tr>
      <w:tr>
        <w:tc>
          <w:tcPr>
            <w:tcW w:type="dxa" w:w="3120"/>
          </w:tcPr>
          <w:p>
            <w:r/>
            <w:r>
              <w:rPr>
                <w:rFonts w:ascii="Times New Roman" w:hAnsi="Times New Roman"/>
                <w:b w:val="0"/>
                <w:i w:val="0"/>
                <w:sz w:val="18"/>
                <w:u w:val="none"/>
              </w:rPr>
              <w:t>Best learning rate</w:t>
            </w:r>
          </w:p>
        </w:tc>
        <w:tc>
          <w:tcPr>
            <w:tcW w:type="dxa" w:w="3120"/>
          </w:tcPr>
          <w:p>
            <w:r/>
            <w:r>
              <w:rPr>
                <w:rFonts w:ascii="Times New Roman" w:hAnsi="Times New Roman"/>
                <w:b w:val="0"/>
                <w:i w:val="0"/>
                <w:sz w:val="18"/>
                <w:u w:val="none"/>
              </w:rPr>
              <w:t>9.31 × 10⁻⁴</w:t>
            </w:r>
          </w:p>
        </w:tc>
        <w:tc>
          <w:tcPr>
            <w:tcW w:type="dxa" w:w="3120"/>
          </w:tcPr>
          <w:p>
            <w:r/>
            <w:r>
              <w:rPr>
                <w:rFonts w:ascii="Times New Roman" w:hAnsi="Times New Roman"/>
                <w:b w:val="0"/>
                <w:i w:val="0"/>
                <w:sz w:val="18"/>
                <w:u w:val="none"/>
              </w:rPr>
              <w:t>7.90 × 10⁻⁵</w:t>
            </w:r>
          </w:p>
        </w:tc>
      </w:tr>
      <w:tr>
        <w:tc>
          <w:tcPr>
            <w:tcW w:type="dxa" w:w="3120"/>
          </w:tcPr>
          <w:p>
            <w:r/>
            <w:r>
              <w:rPr>
                <w:rFonts w:ascii="Times New Roman" w:hAnsi="Times New Roman"/>
                <w:b w:val="0"/>
                <w:i w:val="0"/>
                <w:sz w:val="18"/>
                <w:u w:val="none"/>
              </w:rPr>
              <w:t>Best n_steps</w:t>
            </w:r>
          </w:p>
        </w:tc>
        <w:tc>
          <w:tcPr>
            <w:tcW w:type="dxa" w:w="3120"/>
          </w:tcPr>
          <w:p>
            <w:r/>
            <w:r>
              <w:rPr>
                <w:rFonts w:ascii="Times New Roman" w:hAnsi="Times New Roman"/>
                <w:b w:val="0"/>
                <w:i w:val="0"/>
                <w:sz w:val="18"/>
                <w:u w:val="none"/>
              </w:rPr>
              <w:t>512</w:t>
            </w:r>
          </w:p>
        </w:tc>
        <w:tc>
          <w:tcPr>
            <w:tcW w:type="dxa" w:w="3120"/>
          </w:tcPr>
          <w:p>
            <w:r/>
            <w:r>
              <w:rPr>
                <w:rFonts w:ascii="Times New Roman" w:hAnsi="Times New Roman"/>
                <w:b w:val="0"/>
                <w:i w:val="0"/>
                <w:sz w:val="18"/>
                <w:u w:val="none"/>
              </w:rPr>
              <w:t>4096</w:t>
            </w:r>
          </w:p>
        </w:tc>
      </w:tr>
      <w:tr>
        <w:tc>
          <w:tcPr>
            <w:tcW w:type="dxa" w:w="3120"/>
          </w:tcPr>
          <w:p>
            <w:r/>
            <w:r>
              <w:rPr>
                <w:rFonts w:ascii="Times New Roman" w:hAnsi="Times New Roman"/>
                <w:b w:val="0"/>
                <w:i w:val="0"/>
                <w:sz w:val="18"/>
                <w:u w:val="none"/>
              </w:rPr>
              <w:t>Best batch size</w:t>
            </w:r>
          </w:p>
        </w:tc>
        <w:tc>
          <w:tcPr>
            <w:tcW w:type="dxa" w:w="3120"/>
          </w:tcPr>
          <w:p>
            <w:r/>
            <w:r>
              <w:rPr>
                <w:rFonts w:ascii="Times New Roman" w:hAnsi="Times New Roman"/>
                <w:b w:val="0"/>
                <w:i w:val="0"/>
                <w:sz w:val="18"/>
                <w:u w:val="none"/>
              </w:rPr>
              <w:t>256</w:t>
            </w:r>
          </w:p>
        </w:tc>
        <w:tc>
          <w:tcPr>
            <w:tcW w:type="dxa" w:w="3120"/>
          </w:tcPr>
          <w:p>
            <w:r/>
            <w:r>
              <w:rPr>
                <w:rFonts w:ascii="Times New Roman" w:hAnsi="Times New Roman"/>
                <w:b w:val="0"/>
                <w:i w:val="0"/>
                <w:sz w:val="18"/>
                <w:u w:val="none"/>
              </w:rPr>
              <w:t>64</w:t>
            </w:r>
          </w:p>
        </w:tc>
      </w:tr>
      <w:tr>
        <w:tc>
          <w:tcPr>
            <w:tcW w:type="dxa" w:w="3120"/>
          </w:tcPr>
          <w:p>
            <w:r/>
            <w:r>
              <w:rPr>
                <w:rFonts w:ascii="Times New Roman" w:hAnsi="Times New Roman"/>
                <w:b w:val="0"/>
                <w:i w:val="0"/>
                <w:sz w:val="18"/>
                <w:u w:val="none"/>
              </w:rPr>
              <w:t>Best entropy coef</w:t>
            </w:r>
          </w:p>
        </w:tc>
        <w:tc>
          <w:tcPr>
            <w:tcW w:type="dxa" w:w="3120"/>
          </w:tcPr>
          <w:p>
            <w:r/>
            <w:r>
              <w:rPr>
                <w:rFonts w:ascii="Times New Roman" w:hAnsi="Times New Roman"/>
                <w:b w:val="0"/>
                <w:i w:val="0"/>
                <w:sz w:val="18"/>
                <w:u w:val="none"/>
              </w:rPr>
              <w:t>0.01641</w:t>
            </w:r>
          </w:p>
        </w:tc>
        <w:tc>
          <w:tcPr>
            <w:tcW w:type="dxa" w:w="3120"/>
          </w:tcPr>
          <w:p>
            <w:r/>
            <w:r>
              <w:rPr>
                <w:rFonts w:ascii="Times New Roman" w:hAnsi="Times New Roman"/>
                <w:b w:val="0"/>
                <w:i w:val="0"/>
                <w:sz w:val="18"/>
                <w:u w:val="none"/>
              </w:rPr>
              <w:t>1.96 × 10⁻⁴</w:t>
            </w:r>
          </w:p>
        </w:tc>
      </w:tr>
      <w:tr>
        <w:tc>
          <w:tcPr>
            <w:tcW w:type="dxa" w:w="3120"/>
          </w:tcPr>
          <w:p>
            <w:r/>
            <w:r>
              <w:rPr>
                <w:rFonts w:ascii="Times New Roman" w:hAnsi="Times New Roman"/>
                <w:b w:val="0"/>
                <w:i w:val="0"/>
                <w:sz w:val="18"/>
                <w:u w:val="none"/>
              </w:rPr>
              <w:t>Best γ</w:t>
            </w:r>
          </w:p>
        </w:tc>
        <w:tc>
          <w:tcPr>
            <w:tcW w:type="dxa" w:w="3120"/>
          </w:tcPr>
          <w:p>
            <w:r/>
            <w:r>
              <w:rPr>
                <w:rFonts w:ascii="Times New Roman" w:hAnsi="Times New Roman"/>
                <w:b w:val="0"/>
                <w:i w:val="0"/>
                <w:sz w:val="18"/>
                <w:u w:val="none"/>
              </w:rPr>
              <w:t>0.9986</w:t>
            </w:r>
          </w:p>
        </w:tc>
        <w:tc>
          <w:tcPr>
            <w:tcW w:type="dxa" w:w="3120"/>
          </w:tcPr>
          <w:p>
            <w:r/>
            <w:r>
              <w:rPr>
                <w:rFonts w:ascii="Times New Roman" w:hAnsi="Times New Roman"/>
                <w:b w:val="0"/>
                <w:i w:val="0"/>
                <w:sz w:val="18"/>
                <w:u w:val="none"/>
              </w:rPr>
              <w:t>0.9835</w:t>
            </w:r>
          </w:p>
        </w:tc>
      </w:tr>
      <w:tr>
        <w:tc>
          <w:tcPr>
            <w:tcW w:type="dxa" w:w="3120"/>
          </w:tcPr>
          <w:p>
            <w:r/>
            <w:r>
              <w:rPr>
                <w:rFonts w:ascii="Times New Roman" w:hAnsi="Times New Roman"/>
                <w:b w:val="0"/>
                <w:i w:val="0"/>
                <w:sz w:val="18"/>
                <w:u w:val="none"/>
              </w:rPr>
              <w:t>Best clip range</w:t>
            </w:r>
          </w:p>
        </w:tc>
        <w:tc>
          <w:tcPr>
            <w:tcW w:type="dxa" w:w="3120"/>
          </w:tcPr>
          <w:p>
            <w:r/>
            <w:r>
              <w:rPr>
                <w:rFonts w:ascii="Times New Roman" w:hAnsi="Times New Roman"/>
                <w:b w:val="0"/>
                <w:i w:val="0"/>
                <w:sz w:val="18"/>
                <w:u w:val="none"/>
              </w:rPr>
              <w:t>0.2320</w:t>
            </w:r>
          </w:p>
        </w:tc>
        <w:tc>
          <w:tcPr>
            <w:tcW w:type="dxa" w:w="3120"/>
          </w:tcPr>
          <w:p>
            <w:r/>
            <w:r>
              <w:rPr>
                <w:rFonts w:ascii="Times New Roman" w:hAnsi="Times New Roman"/>
                <w:b w:val="0"/>
                <w:i w:val="0"/>
                <w:sz w:val="18"/>
                <w:u w:val="none"/>
              </w:rPr>
              <w:t>0.2320</w:t>
            </w:r>
          </w:p>
        </w:tc>
      </w:tr>
    </w:tbl>
    <w:p>
      <w:pPr>
        <w:spacing w:before="0" w:after="80" w:line="240" w:lineRule="exact"/>
        <w:jc w:val="both"/>
      </w:pPr>
      <w:r>
        <w:rPr>
          <w:rFonts w:ascii="Times New Roman" w:hAnsi="Times New Roman"/>
          <w:b w:val="0"/>
          <w:i w:val="0"/>
          <w:sz w:val="20"/>
          <w:u w:val="none"/>
        </w:rPr>
        <w:t>All training was conducted on a Lenovo PC with 16 GB RAM and GPU acceleration.</w:t>
      </w:r>
    </w:p>
    <w:p>
      <w:pPr>
        <w:spacing w:before="160" w:after="60" w:line="240" w:lineRule="exact"/>
        <w:jc w:val="left"/>
      </w:pPr>
      <w:r>
        <w:rPr>
          <w:rFonts w:ascii="Times New Roman" w:hAnsi="Times New Roman"/>
          <w:b/>
          <w:i w:val="0"/>
          <w:sz w:val="20"/>
          <w:u w:val="none"/>
        </w:rPr>
        <w:t>4.5  Inference Latency</w:t>
      </w:r>
    </w:p>
    <w:p>
      <w:pPr>
        <w:spacing w:before="0" w:after="80" w:line="240" w:lineRule="exact"/>
        <w:jc w:val="both"/>
      </w:pPr>
      <w:r>
        <w:rPr>
          <w:rFonts w:ascii="Times New Roman" w:hAnsi="Times New Roman"/>
          <w:b w:val="0"/>
          <w:i w:val="0"/>
          <w:sz w:val="20"/>
          <w:u w:val="none"/>
        </w:rPr>
        <w:t>Inference latency was measured across all trained policy architectures over 1,000 timed forward passes. Results are shown in Figure 8 and Table 2. The RecurrentPPO policy produced a mean inference latency of 1.930 ms (p99 = 3.714 ms, worst-case 5.310 ms)—well below the 10–20 ms control period of typical upper-limb exoskeleton platforms [Supriyono et al., 2025].</w:t>
      </w:r>
    </w:p>
    <w:p>
      <w:pPr>
        <w:spacing w:before="120" w:after="120"/>
        <w:jc w:val="center"/>
      </w:pPr>
      <w:r>
        <w:rPr>
          <w:rFonts w:ascii="Times New Roman" w:hAnsi="Times New Roman"/>
          <w:b w:val="0"/>
          <w:i/>
          <w:sz w:val="18"/>
          <w:u w:val="none"/>
        </w:rPr>
        <w:t>[Figure 8: Per-step inference latency — see fig8_latency.pdf]</w:t>
      </w:r>
    </w:p>
    <w:p>
      <w:pPr>
        <w:spacing w:after="40"/>
        <w:jc w:val="center"/>
      </w:pPr>
      <w:r>
        <w:rPr>
          <w:rFonts w:ascii="Times New Roman" w:hAnsi="Times New Roman"/>
          <w:b/>
          <w:i w:val="0"/>
          <w:sz w:val="18"/>
          <w:u w:val="none"/>
        </w:rPr>
        <w:t>Table 2. Inference latency across architectures (ms).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rFonts w:ascii="Times New Roman" w:hAnsi="Times New Roman"/>
                <w:b/>
                <w:i w:val="0"/>
                <w:sz w:val="16"/>
                <w:u w:val="none"/>
              </w:rPr>
              <w:t>Model</w:t>
            </w:r>
          </w:p>
        </w:tc>
        <w:tc>
          <w:tcPr>
            <w:tcW w:type="dxa" w:w="1170"/>
          </w:tcPr>
          <w:p>
            <w:r/>
            <w:r>
              <w:rPr>
                <w:rFonts w:ascii="Times New Roman" w:hAnsi="Times New Roman"/>
                <w:b/>
                <w:i w:val="0"/>
                <w:sz w:val="16"/>
                <w:u w:val="none"/>
              </w:rPr>
              <w:t>Mean</w:t>
            </w:r>
          </w:p>
        </w:tc>
        <w:tc>
          <w:tcPr>
            <w:tcW w:type="dxa" w:w="1170"/>
          </w:tcPr>
          <w:p>
            <w:r/>
            <w:r>
              <w:rPr>
                <w:rFonts w:ascii="Times New Roman" w:hAnsi="Times New Roman"/>
                <w:b/>
                <w:i w:val="0"/>
                <w:sz w:val="16"/>
                <w:u w:val="none"/>
              </w:rPr>
              <w:t>Std</w:t>
            </w:r>
          </w:p>
        </w:tc>
        <w:tc>
          <w:tcPr>
            <w:tcW w:type="dxa" w:w="1170"/>
          </w:tcPr>
          <w:p>
            <w:r/>
            <w:r>
              <w:rPr>
                <w:rFonts w:ascii="Times New Roman" w:hAnsi="Times New Roman"/>
                <w:b/>
                <w:i w:val="0"/>
                <w:sz w:val="16"/>
                <w:u w:val="none"/>
              </w:rPr>
              <w:t>Min</w:t>
            </w:r>
          </w:p>
        </w:tc>
        <w:tc>
          <w:tcPr>
            <w:tcW w:type="dxa" w:w="1170"/>
          </w:tcPr>
          <w:p>
            <w:r/>
            <w:r>
              <w:rPr>
                <w:rFonts w:ascii="Times New Roman" w:hAnsi="Times New Roman"/>
                <w:b/>
                <w:i w:val="0"/>
                <w:sz w:val="16"/>
                <w:u w:val="none"/>
              </w:rPr>
              <w:t>p5</w:t>
            </w:r>
          </w:p>
        </w:tc>
        <w:tc>
          <w:tcPr>
            <w:tcW w:type="dxa" w:w="1170"/>
          </w:tcPr>
          <w:p>
            <w:r/>
            <w:r>
              <w:rPr>
                <w:rFonts w:ascii="Times New Roman" w:hAnsi="Times New Roman"/>
                <w:b/>
                <w:i w:val="0"/>
                <w:sz w:val="16"/>
                <w:u w:val="none"/>
              </w:rPr>
              <w:t>p50</w:t>
            </w:r>
          </w:p>
        </w:tc>
        <w:tc>
          <w:tcPr>
            <w:tcW w:type="dxa" w:w="1170"/>
          </w:tcPr>
          <w:p>
            <w:r/>
            <w:r>
              <w:rPr>
                <w:rFonts w:ascii="Times New Roman" w:hAnsi="Times New Roman"/>
                <w:b/>
                <w:i w:val="0"/>
                <w:sz w:val="16"/>
                <w:u w:val="none"/>
              </w:rPr>
              <w:t>p99</w:t>
            </w:r>
          </w:p>
        </w:tc>
        <w:tc>
          <w:tcPr>
            <w:tcW w:type="dxa" w:w="1170"/>
          </w:tcPr>
          <w:p>
            <w:r/>
            <w:r>
              <w:rPr>
                <w:rFonts w:ascii="Times New Roman" w:hAnsi="Times New Roman"/>
                <w:b/>
                <w:i w:val="0"/>
                <w:sz w:val="16"/>
                <w:u w:val="none"/>
              </w:rPr>
              <w:t>Max</w:t>
            </w:r>
          </w:p>
        </w:tc>
      </w:tr>
      <w:tr>
        <w:tc>
          <w:tcPr>
            <w:tcW w:type="dxa" w:w="1170"/>
          </w:tcPr>
          <w:p>
            <w:r/>
            <w:r>
              <w:rPr>
                <w:rFonts w:ascii="Times New Roman" w:hAnsi="Times New Roman"/>
                <w:b w:val="0"/>
                <w:i w:val="0"/>
                <w:sz w:val="16"/>
                <w:u w:val="none"/>
              </w:rPr>
              <w:t>Healthy MLP</w:t>
            </w:r>
          </w:p>
        </w:tc>
        <w:tc>
          <w:tcPr>
            <w:tcW w:type="dxa" w:w="1170"/>
          </w:tcPr>
          <w:p>
            <w:r/>
            <w:r>
              <w:rPr>
                <w:rFonts w:ascii="Times New Roman" w:hAnsi="Times New Roman"/>
                <w:b w:val="0"/>
                <w:i w:val="0"/>
                <w:sz w:val="16"/>
                <w:u w:val="none"/>
              </w:rPr>
              <w:t>1.267</w:t>
            </w:r>
          </w:p>
        </w:tc>
        <w:tc>
          <w:tcPr>
            <w:tcW w:type="dxa" w:w="1170"/>
          </w:tcPr>
          <w:p>
            <w:r/>
            <w:r>
              <w:rPr>
                <w:rFonts w:ascii="Times New Roman" w:hAnsi="Times New Roman"/>
                <w:b w:val="0"/>
                <w:i w:val="0"/>
                <w:sz w:val="16"/>
                <w:u w:val="none"/>
              </w:rPr>
              <w:t>0.405</w:t>
            </w:r>
          </w:p>
        </w:tc>
        <w:tc>
          <w:tcPr>
            <w:tcW w:type="dxa" w:w="1170"/>
          </w:tcPr>
          <w:p>
            <w:r/>
            <w:r>
              <w:rPr>
                <w:rFonts w:ascii="Times New Roman" w:hAnsi="Times New Roman"/>
                <w:b w:val="0"/>
                <w:i w:val="0"/>
                <w:sz w:val="16"/>
                <w:u w:val="none"/>
              </w:rPr>
              <w:t>0.840</w:t>
            </w:r>
          </w:p>
        </w:tc>
        <w:tc>
          <w:tcPr>
            <w:tcW w:type="dxa" w:w="1170"/>
          </w:tcPr>
          <w:p>
            <w:r/>
            <w:r>
              <w:rPr>
                <w:rFonts w:ascii="Times New Roman" w:hAnsi="Times New Roman"/>
                <w:b w:val="0"/>
                <w:i w:val="0"/>
                <w:sz w:val="16"/>
                <w:u w:val="none"/>
              </w:rPr>
              <w:t>0.896</w:t>
            </w:r>
          </w:p>
        </w:tc>
        <w:tc>
          <w:tcPr>
            <w:tcW w:type="dxa" w:w="1170"/>
          </w:tcPr>
          <w:p>
            <w:r/>
            <w:r>
              <w:rPr>
                <w:rFonts w:ascii="Times New Roman" w:hAnsi="Times New Roman"/>
                <w:b w:val="0"/>
                <w:i w:val="0"/>
                <w:sz w:val="16"/>
                <w:u w:val="none"/>
              </w:rPr>
              <w:t>1.090</w:t>
            </w:r>
          </w:p>
        </w:tc>
        <w:tc>
          <w:tcPr>
            <w:tcW w:type="dxa" w:w="1170"/>
          </w:tcPr>
          <w:p>
            <w:r/>
            <w:r>
              <w:rPr>
                <w:rFonts w:ascii="Times New Roman" w:hAnsi="Times New Roman"/>
                <w:b w:val="0"/>
                <w:i w:val="0"/>
                <w:sz w:val="16"/>
                <w:u w:val="none"/>
              </w:rPr>
              <w:t>2.414</w:t>
            </w:r>
          </w:p>
        </w:tc>
        <w:tc>
          <w:tcPr>
            <w:tcW w:type="dxa" w:w="1170"/>
          </w:tcPr>
          <w:p>
            <w:r/>
            <w:r>
              <w:rPr>
                <w:rFonts w:ascii="Times New Roman" w:hAnsi="Times New Roman"/>
                <w:b w:val="0"/>
                <w:i w:val="0"/>
                <w:sz w:val="16"/>
                <w:u w:val="none"/>
              </w:rPr>
              <w:t>2.799</w:t>
            </w:r>
          </w:p>
        </w:tc>
      </w:tr>
      <w:tr>
        <w:tc>
          <w:tcPr>
            <w:tcW w:type="dxa" w:w="1170"/>
          </w:tcPr>
          <w:p>
            <w:r/>
            <w:r>
              <w:rPr>
                <w:rFonts w:ascii="Times New Roman" w:hAnsi="Times New Roman"/>
                <w:b w:val="0"/>
                <w:i w:val="0"/>
                <w:sz w:val="16"/>
                <w:u w:val="none"/>
              </w:rPr>
              <w:t>Brady+Deg MLP</w:t>
            </w:r>
          </w:p>
        </w:tc>
        <w:tc>
          <w:tcPr>
            <w:tcW w:type="dxa" w:w="1170"/>
          </w:tcPr>
          <w:p>
            <w:r/>
            <w:r>
              <w:rPr>
                <w:rFonts w:ascii="Times New Roman" w:hAnsi="Times New Roman"/>
                <w:b w:val="0"/>
                <w:i w:val="0"/>
                <w:sz w:val="16"/>
                <w:u w:val="none"/>
              </w:rPr>
              <w:t>1.017</w:t>
            </w:r>
          </w:p>
        </w:tc>
        <w:tc>
          <w:tcPr>
            <w:tcW w:type="dxa" w:w="1170"/>
          </w:tcPr>
          <w:p>
            <w:r/>
            <w:r>
              <w:rPr>
                <w:rFonts w:ascii="Times New Roman" w:hAnsi="Times New Roman"/>
                <w:b w:val="0"/>
                <w:i w:val="0"/>
                <w:sz w:val="16"/>
                <w:u w:val="none"/>
              </w:rPr>
              <w:t>0.302</w:t>
            </w:r>
          </w:p>
        </w:tc>
        <w:tc>
          <w:tcPr>
            <w:tcW w:type="dxa" w:w="1170"/>
          </w:tcPr>
          <w:p>
            <w:r/>
            <w:r>
              <w:rPr>
                <w:rFonts w:ascii="Times New Roman" w:hAnsi="Times New Roman"/>
                <w:b w:val="0"/>
                <w:i w:val="0"/>
                <w:sz w:val="16"/>
                <w:u w:val="none"/>
              </w:rPr>
              <w:t>0.807</w:t>
            </w:r>
          </w:p>
        </w:tc>
        <w:tc>
          <w:tcPr>
            <w:tcW w:type="dxa" w:w="1170"/>
          </w:tcPr>
          <w:p>
            <w:r/>
            <w:r>
              <w:rPr>
                <w:rFonts w:ascii="Times New Roman" w:hAnsi="Times New Roman"/>
                <w:b w:val="0"/>
                <w:i w:val="0"/>
                <w:sz w:val="16"/>
                <w:u w:val="none"/>
              </w:rPr>
              <w:t>0.827</w:t>
            </w:r>
          </w:p>
        </w:tc>
        <w:tc>
          <w:tcPr>
            <w:tcW w:type="dxa" w:w="1170"/>
          </w:tcPr>
          <w:p>
            <w:r/>
            <w:r>
              <w:rPr>
                <w:rFonts w:ascii="Times New Roman" w:hAnsi="Times New Roman"/>
                <w:b w:val="0"/>
                <w:i w:val="0"/>
                <w:sz w:val="16"/>
                <w:u w:val="none"/>
              </w:rPr>
              <w:t>0.902</w:t>
            </w:r>
          </w:p>
        </w:tc>
        <w:tc>
          <w:tcPr>
            <w:tcW w:type="dxa" w:w="1170"/>
          </w:tcPr>
          <w:p>
            <w:r/>
            <w:r>
              <w:rPr>
                <w:rFonts w:ascii="Times New Roman" w:hAnsi="Times New Roman"/>
                <w:b w:val="0"/>
                <w:i w:val="0"/>
                <w:sz w:val="16"/>
                <w:u w:val="none"/>
              </w:rPr>
              <w:t>2.412</w:t>
            </w:r>
          </w:p>
        </w:tc>
        <w:tc>
          <w:tcPr>
            <w:tcW w:type="dxa" w:w="1170"/>
          </w:tcPr>
          <w:p>
            <w:r/>
            <w:r>
              <w:rPr>
                <w:rFonts w:ascii="Times New Roman" w:hAnsi="Times New Roman"/>
                <w:b w:val="0"/>
                <w:i w:val="0"/>
                <w:sz w:val="16"/>
                <w:u w:val="none"/>
              </w:rPr>
              <w:t>2.704</w:t>
            </w:r>
          </w:p>
        </w:tc>
      </w:tr>
      <w:tr>
        <w:tc>
          <w:tcPr>
            <w:tcW w:type="dxa" w:w="1170"/>
          </w:tcPr>
          <w:p>
            <w:r/>
            <w:r>
              <w:rPr>
                <w:rFonts w:ascii="Times New Roman" w:hAnsi="Times New Roman"/>
                <w:b w:val="0"/>
                <w:i w:val="0"/>
                <w:sz w:val="16"/>
                <w:u w:val="none"/>
              </w:rPr>
              <w:t>Deg-only MLP</w:t>
            </w:r>
          </w:p>
        </w:tc>
        <w:tc>
          <w:tcPr>
            <w:tcW w:type="dxa" w:w="1170"/>
          </w:tcPr>
          <w:p>
            <w:r/>
            <w:r>
              <w:rPr>
                <w:rFonts w:ascii="Times New Roman" w:hAnsi="Times New Roman"/>
                <w:b w:val="0"/>
                <w:i w:val="0"/>
                <w:sz w:val="16"/>
                <w:u w:val="none"/>
              </w:rPr>
              <w:t>1.056</w:t>
            </w:r>
          </w:p>
        </w:tc>
        <w:tc>
          <w:tcPr>
            <w:tcW w:type="dxa" w:w="1170"/>
          </w:tcPr>
          <w:p>
            <w:r/>
            <w:r>
              <w:rPr>
                <w:rFonts w:ascii="Times New Roman" w:hAnsi="Times New Roman"/>
                <w:b w:val="0"/>
                <w:i w:val="0"/>
                <w:sz w:val="16"/>
                <w:u w:val="none"/>
              </w:rPr>
              <w:t>0.335</w:t>
            </w:r>
          </w:p>
        </w:tc>
        <w:tc>
          <w:tcPr>
            <w:tcW w:type="dxa" w:w="1170"/>
          </w:tcPr>
          <w:p>
            <w:r/>
            <w:r>
              <w:rPr>
                <w:rFonts w:ascii="Times New Roman" w:hAnsi="Times New Roman"/>
                <w:b w:val="0"/>
                <w:i w:val="0"/>
                <w:sz w:val="16"/>
                <w:u w:val="none"/>
              </w:rPr>
              <w:t>0.808</w:t>
            </w:r>
          </w:p>
        </w:tc>
        <w:tc>
          <w:tcPr>
            <w:tcW w:type="dxa" w:w="1170"/>
          </w:tcPr>
          <w:p>
            <w:r/>
            <w:r>
              <w:rPr>
                <w:rFonts w:ascii="Times New Roman" w:hAnsi="Times New Roman"/>
                <w:b w:val="0"/>
                <w:i w:val="0"/>
                <w:sz w:val="16"/>
                <w:u w:val="none"/>
              </w:rPr>
              <w:t>0.832</w:t>
            </w:r>
          </w:p>
        </w:tc>
        <w:tc>
          <w:tcPr>
            <w:tcW w:type="dxa" w:w="1170"/>
          </w:tcPr>
          <w:p>
            <w:r/>
            <w:r>
              <w:rPr>
                <w:rFonts w:ascii="Times New Roman" w:hAnsi="Times New Roman"/>
                <w:b w:val="0"/>
                <w:i w:val="0"/>
                <w:sz w:val="16"/>
                <w:u w:val="none"/>
              </w:rPr>
              <w:t>0.913</w:t>
            </w:r>
          </w:p>
        </w:tc>
        <w:tc>
          <w:tcPr>
            <w:tcW w:type="dxa" w:w="1170"/>
          </w:tcPr>
          <w:p>
            <w:r/>
            <w:r>
              <w:rPr>
                <w:rFonts w:ascii="Times New Roman" w:hAnsi="Times New Roman"/>
                <w:b w:val="0"/>
                <w:i w:val="0"/>
                <w:sz w:val="16"/>
                <w:u w:val="none"/>
              </w:rPr>
              <w:t>2.252</w:t>
            </w:r>
          </w:p>
        </w:tc>
        <w:tc>
          <w:tcPr>
            <w:tcW w:type="dxa" w:w="1170"/>
          </w:tcPr>
          <w:p>
            <w:r/>
            <w:r>
              <w:rPr>
                <w:rFonts w:ascii="Times New Roman" w:hAnsi="Times New Roman"/>
                <w:b w:val="0"/>
                <w:i w:val="0"/>
                <w:sz w:val="16"/>
                <w:u w:val="none"/>
              </w:rPr>
              <w:t>3.275</w:t>
            </w:r>
          </w:p>
        </w:tc>
      </w:tr>
      <w:tr>
        <w:tc>
          <w:tcPr>
            <w:tcW w:type="dxa" w:w="1170"/>
          </w:tcPr>
          <w:p>
            <w:r/>
            <w:r>
              <w:rPr>
                <w:rFonts w:ascii="Times New Roman" w:hAnsi="Times New Roman"/>
                <w:b/>
                <w:i w:val="0"/>
                <w:sz w:val="16"/>
                <w:u w:val="none"/>
              </w:rPr>
              <w:t>Brady+Deg RecPPO (ours)</w:t>
            </w:r>
          </w:p>
        </w:tc>
        <w:tc>
          <w:tcPr>
            <w:tcW w:type="dxa" w:w="1170"/>
          </w:tcPr>
          <w:p>
            <w:r/>
            <w:r>
              <w:rPr>
                <w:rFonts w:ascii="Times New Roman" w:hAnsi="Times New Roman"/>
                <w:b/>
                <w:i w:val="0"/>
                <w:sz w:val="16"/>
                <w:u w:val="none"/>
              </w:rPr>
              <w:t>1.930</w:t>
            </w:r>
          </w:p>
        </w:tc>
        <w:tc>
          <w:tcPr>
            <w:tcW w:type="dxa" w:w="1170"/>
          </w:tcPr>
          <w:p>
            <w:r/>
            <w:r>
              <w:rPr>
                <w:rFonts w:ascii="Times New Roman" w:hAnsi="Times New Roman"/>
                <w:b/>
                <w:i w:val="0"/>
                <w:sz w:val="16"/>
                <w:u w:val="none"/>
              </w:rPr>
              <w:t>0.560</w:t>
            </w:r>
          </w:p>
        </w:tc>
        <w:tc>
          <w:tcPr>
            <w:tcW w:type="dxa" w:w="1170"/>
          </w:tcPr>
          <w:p>
            <w:r/>
            <w:r>
              <w:rPr>
                <w:rFonts w:ascii="Times New Roman" w:hAnsi="Times New Roman"/>
                <w:b/>
                <w:i w:val="0"/>
                <w:sz w:val="16"/>
                <w:u w:val="none"/>
              </w:rPr>
              <w:t>1.448</w:t>
            </w:r>
          </w:p>
        </w:tc>
        <w:tc>
          <w:tcPr>
            <w:tcW w:type="dxa" w:w="1170"/>
          </w:tcPr>
          <w:p>
            <w:r/>
            <w:r>
              <w:rPr>
                <w:rFonts w:ascii="Times New Roman" w:hAnsi="Times New Roman"/>
                <w:b/>
                <w:i w:val="0"/>
                <w:sz w:val="16"/>
                <w:u w:val="none"/>
              </w:rPr>
              <w:t>1.488</w:t>
            </w:r>
          </w:p>
        </w:tc>
        <w:tc>
          <w:tcPr>
            <w:tcW w:type="dxa" w:w="1170"/>
          </w:tcPr>
          <w:p>
            <w:r/>
            <w:r>
              <w:rPr>
                <w:rFonts w:ascii="Times New Roman" w:hAnsi="Times New Roman"/>
                <w:b/>
                <w:i w:val="0"/>
                <w:sz w:val="16"/>
                <w:u w:val="none"/>
              </w:rPr>
              <w:t>1.686</w:t>
            </w:r>
          </w:p>
        </w:tc>
        <w:tc>
          <w:tcPr>
            <w:tcW w:type="dxa" w:w="1170"/>
          </w:tcPr>
          <w:p>
            <w:r/>
            <w:r>
              <w:rPr>
                <w:rFonts w:ascii="Times New Roman" w:hAnsi="Times New Roman"/>
                <w:b/>
                <w:i w:val="0"/>
                <w:sz w:val="16"/>
                <w:u w:val="none"/>
              </w:rPr>
              <w:t>3.714</w:t>
            </w:r>
          </w:p>
        </w:tc>
        <w:tc>
          <w:tcPr>
            <w:tcW w:type="dxa" w:w="1170"/>
          </w:tcPr>
          <w:p>
            <w:r/>
            <w:r>
              <w:rPr>
                <w:rFonts w:ascii="Times New Roman" w:hAnsi="Times New Roman"/>
                <w:b/>
                <w:i w:val="0"/>
                <w:sz w:val="16"/>
                <w:u w:val="none"/>
              </w:rPr>
              <w:t>5.310</w:t>
            </w:r>
          </w:p>
        </w:tc>
      </w:tr>
      <w:tr>
        <w:tc>
          <w:tcPr>
            <w:tcW w:type="dxa" w:w="1170"/>
          </w:tcPr>
          <w:p>
            <w:r/>
            <w:r>
              <w:rPr>
                <w:rFonts w:ascii="Times New Roman" w:hAnsi="Times New Roman"/>
                <w:b w:val="0"/>
                <w:i w:val="0"/>
                <w:sz w:val="16"/>
                <w:u w:val="none"/>
              </w:rPr>
              <w:t>Noisy RecPPO</w:t>
            </w:r>
          </w:p>
        </w:tc>
        <w:tc>
          <w:tcPr>
            <w:tcW w:type="dxa" w:w="1170"/>
          </w:tcPr>
          <w:p>
            <w:r/>
            <w:r>
              <w:rPr>
                <w:rFonts w:ascii="Times New Roman" w:hAnsi="Times New Roman"/>
                <w:b w:val="0"/>
                <w:i w:val="0"/>
                <w:sz w:val="16"/>
                <w:u w:val="none"/>
              </w:rPr>
              <w:t>1.851</w:t>
            </w:r>
          </w:p>
        </w:tc>
        <w:tc>
          <w:tcPr>
            <w:tcW w:type="dxa" w:w="1170"/>
          </w:tcPr>
          <w:p>
            <w:r/>
            <w:r>
              <w:rPr>
                <w:rFonts w:ascii="Times New Roman" w:hAnsi="Times New Roman"/>
                <w:b w:val="0"/>
                <w:i w:val="0"/>
                <w:sz w:val="16"/>
                <w:u w:val="none"/>
              </w:rPr>
              <w:t>0.458</w:t>
            </w:r>
          </w:p>
        </w:tc>
        <w:tc>
          <w:tcPr>
            <w:tcW w:type="dxa" w:w="1170"/>
          </w:tcPr>
          <w:p>
            <w:r/>
            <w:r>
              <w:rPr>
                <w:rFonts w:ascii="Times New Roman" w:hAnsi="Times New Roman"/>
                <w:b w:val="0"/>
                <w:i w:val="0"/>
                <w:sz w:val="16"/>
                <w:u w:val="none"/>
              </w:rPr>
              <w:t>1.447</w:t>
            </w:r>
          </w:p>
        </w:tc>
        <w:tc>
          <w:tcPr>
            <w:tcW w:type="dxa" w:w="1170"/>
          </w:tcPr>
          <w:p>
            <w:r/>
            <w:r>
              <w:rPr>
                <w:rFonts w:ascii="Times New Roman" w:hAnsi="Times New Roman"/>
                <w:b w:val="0"/>
                <w:i w:val="0"/>
                <w:sz w:val="16"/>
                <w:u w:val="none"/>
              </w:rPr>
              <w:t>1.479</w:t>
            </w:r>
          </w:p>
        </w:tc>
        <w:tc>
          <w:tcPr>
            <w:tcW w:type="dxa" w:w="1170"/>
          </w:tcPr>
          <w:p>
            <w:r/>
            <w:r>
              <w:rPr>
                <w:rFonts w:ascii="Times New Roman" w:hAnsi="Times New Roman"/>
                <w:b w:val="0"/>
                <w:i w:val="0"/>
                <w:sz w:val="16"/>
                <w:u w:val="none"/>
              </w:rPr>
              <w:t>1.666</w:t>
            </w:r>
          </w:p>
        </w:tc>
        <w:tc>
          <w:tcPr>
            <w:tcW w:type="dxa" w:w="1170"/>
          </w:tcPr>
          <w:p>
            <w:r/>
            <w:r>
              <w:rPr>
                <w:rFonts w:ascii="Times New Roman" w:hAnsi="Times New Roman"/>
                <w:b w:val="0"/>
                <w:i w:val="0"/>
                <w:sz w:val="16"/>
                <w:u w:val="none"/>
              </w:rPr>
              <w:t>3.387</w:t>
            </w:r>
          </w:p>
        </w:tc>
        <w:tc>
          <w:tcPr>
            <w:tcW w:type="dxa" w:w="1170"/>
          </w:tcPr>
          <w:p>
            <w:r/>
            <w:r>
              <w:rPr>
                <w:rFonts w:ascii="Times New Roman" w:hAnsi="Times New Roman"/>
                <w:b w:val="0"/>
                <w:i w:val="0"/>
                <w:sz w:val="16"/>
                <w:u w:val="none"/>
              </w:rPr>
              <w:t>4.110</w:t>
            </w:r>
          </w:p>
        </w:tc>
      </w:tr>
      <w:tr>
        <w:tc>
          <w:tcPr>
            <w:tcW w:type="dxa" w:w="1170"/>
          </w:tcPr>
          <w:p>
            <w:r/>
            <w:r>
              <w:rPr>
                <w:rFonts w:ascii="Times New Roman" w:hAnsi="Times New Roman"/>
                <w:b w:val="0"/>
                <w:i w:val="0"/>
                <w:sz w:val="16"/>
                <w:u w:val="none"/>
              </w:rPr>
              <w:t>Deg-only RecPPO</w:t>
            </w:r>
          </w:p>
        </w:tc>
        <w:tc>
          <w:tcPr>
            <w:tcW w:type="dxa" w:w="1170"/>
          </w:tcPr>
          <w:p>
            <w:r/>
            <w:r>
              <w:rPr>
                <w:rFonts w:ascii="Times New Roman" w:hAnsi="Times New Roman"/>
                <w:b w:val="0"/>
                <w:i w:val="0"/>
                <w:sz w:val="16"/>
                <w:u w:val="none"/>
              </w:rPr>
              <w:t>1.974</w:t>
            </w:r>
          </w:p>
        </w:tc>
        <w:tc>
          <w:tcPr>
            <w:tcW w:type="dxa" w:w="1170"/>
          </w:tcPr>
          <w:p>
            <w:r/>
            <w:r>
              <w:rPr>
                <w:rFonts w:ascii="Times New Roman" w:hAnsi="Times New Roman"/>
                <w:b w:val="0"/>
                <w:i w:val="0"/>
                <w:sz w:val="16"/>
                <w:u w:val="none"/>
              </w:rPr>
              <w:t>0.555</w:t>
            </w:r>
          </w:p>
        </w:tc>
        <w:tc>
          <w:tcPr>
            <w:tcW w:type="dxa" w:w="1170"/>
          </w:tcPr>
          <w:p>
            <w:r/>
            <w:r>
              <w:rPr>
                <w:rFonts w:ascii="Times New Roman" w:hAnsi="Times New Roman"/>
                <w:b w:val="0"/>
                <w:i w:val="0"/>
                <w:sz w:val="16"/>
                <w:u w:val="none"/>
              </w:rPr>
              <w:t>1.454</w:t>
            </w:r>
          </w:p>
        </w:tc>
        <w:tc>
          <w:tcPr>
            <w:tcW w:type="dxa" w:w="1170"/>
          </w:tcPr>
          <w:p>
            <w:r/>
            <w:r>
              <w:rPr>
                <w:rFonts w:ascii="Times New Roman" w:hAnsi="Times New Roman"/>
                <w:b w:val="0"/>
                <w:i w:val="0"/>
                <w:sz w:val="16"/>
                <w:u w:val="none"/>
              </w:rPr>
              <w:t>1.495</w:t>
            </w:r>
          </w:p>
        </w:tc>
        <w:tc>
          <w:tcPr>
            <w:tcW w:type="dxa" w:w="1170"/>
          </w:tcPr>
          <w:p>
            <w:r/>
            <w:r>
              <w:rPr>
                <w:rFonts w:ascii="Times New Roman" w:hAnsi="Times New Roman"/>
                <w:b w:val="0"/>
                <w:i w:val="0"/>
                <w:sz w:val="16"/>
                <w:u w:val="none"/>
              </w:rPr>
              <w:t>1.752</w:t>
            </w:r>
          </w:p>
        </w:tc>
        <w:tc>
          <w:tcPr>
            <w:tcW w:type="dxa" w:w="1170"/>
          </w:tcPr>
          <w:p>
            <w:r/>
            <w:r>
              <w:rPr>
                <w:rFonts w:ascii="Times New Roman" w:hAnsi="Times New Roman"/>
                <w:b w:val="0"/>
                <w:i w:val="0"/>
                <w:sz w:val="16"/>
                <w:u w:val="none"/>
              </w:rPr>
              <w:t>3.960</w:t>
            </w:r>
          </w:p>
        </w:tc>
        <w:tc>
          <w:tcPr>
            <w:tcW w:type="dxa" w:w="1170"/>
          </w:tcPr>
          <w:p>
            <w:r/>
            <w:r>
              <w:rPr>
                <w:rFonts w:ascii="Times New Roman" w:hAnsi="Times New Roman"/>
                <w:b w:val="0"/>
                <w:i w:val="0"/>
                <w:sz w:val="16"/>
                <w:u w:val="none"/>
              </w:rPr>
              <w:t>4.887</w:t>
            </w:r>
          </w:p>
        </w:tc>
      </w:tr>
    </w:tbl>
    <w:p>
      <w:pPr>
        <w:spacing w:before="200" w:after="80" w:line="280" w:lineRule="exact"/>
        <w:jc w:val="left"/>
      </w:pPr>
      <w:r>
        <w:rPr>
          <w:rFonts w:ascii="Times New Roman" w:hAnsi="Times New Roman"/>
          <w:b/>
          <w:i w:val="0"/>
          <w:sz w:val="24"/>
          <w:u w:val="none"/>
        </w:rPr>
        <w:t>5  EXPERIMENTS AND RESULTS</w:t>
      </w:r>
    </w:p>
    <w:p>
      <w:pPr>
        <w:spacing w:before="160" w:after="60" w:line="240" w:lineRule="exact"/>
        <w:jc w:val="left"/>
      </w:pPr>
      <w:r>
        <w:rPr>
          <w:rFonts w:ascii="Times New Roman" w:hAnsi="Times New Roman"/>
          <w:b/>
          <w:i w:val="0"/>
          <w:sz w:val="20"/>
          <w:u w:val="none"/>
        </w:rPr>
        <w:t>5.1  Evaluation Methodology</w:t>
      </w:r>
    </w:p>
    <w:p>
      <w:pPr>
        <w:spacing w:before="0" w:after="80" w:line="240" w:lineRule="exact"/>
        <w:jc w:val="both"/>
      </w:pPr>
      <w:r>
        <w:rPr>
          <w:rFonts w:ascii="Times New Roman" w:hAnsi="Times New Roman"/>
          <w:b w:val="0"/>
          <w:i w:val="0"/>
          <w:sz w:val="20"/>
          <w:u w:val="none"/>
        </w:rPr>
        <w:t>Each policy was evaluated on the same shared set of 4,000 episode configurations. Episodes were stratified across four severity quartiles (Q1 mild–Q4 severe) and four radian-travelled bins reflecting the actual distance the elbow moved during the episode: 0.0–0.5 (39.2%), 0.5–1.0 (29.2%), 1.0–1.5 (20.6%), and 1.5+ rad (11.0%), with 250 episodes per pairing. For every episode, three tracks ran on identical configurations: a healthy elbow baseline, an impaired patient with no exoskeleton assistance, and the impaired patient with exoskeleton assistance.</w:t>
      </w:r>
    </w:p>
    <w:p>
      <w:pPr>
        <w:spacing w:before="0" w:after="80" w:line="240" w:lineRule="exact"/>
        <w:jc w:val="both"/>
      </w:pPr>
      <w:r>
        <w:rPr>
          <w:rFonts w:ascii="Times New Roman" w:hAnsi="Times New Roman"/>
          <w:b w:val="0"/>
          <w:i w:val="0"/>
          <w:sz w:val="20"/>
          <w:u w:val="none"/>
        </w:rPr>
        <w:t>The primary metric is the Pearson correlation coefficient r between the exoskeleton-assisted trajectory and the healthy baseline trajectory over the episode. The healthy trajectory represents what the patient intended to do; PD breaks the link between intention and execution. r = 1.0 means the assisted movement is indistinguishable from healthy movement; r = 0 means no relationship; negative values indicate the assisted movement opposes the intended trajectory.</w:t>
      </w:r>
    </w:p>
    <w:p>
      <w:pPr>
        <w:spacing w:before="0" w:after="80" w:line="240" w:lineRule="exact"/>
        <w:jc w:val="both"/>
      </w:pPr>
      <w:r>
        <w:rPr>
          <w:rFonts w:ascii="Times New Roman" w:hAnsi="Times New Roman"/>
          <w:b w:val="0"/>
          <w:i w:val="0"/>
          <w:sz w:val="20"/>
          <w:u w:val="none"/>
        </w:rPr>
        <w:t>Goal achievement rate—the fraction of episodes in which the target angle was reached—is reported as a secondary metric. Mean episodic reward is reported for all policy comparisons. All policies were trained to maximise the same MyoSuite pose-error reward.</w:t>
      </w:r>
    </w:p>
    <w:p>
      <w:pPr>
        <w:spacing w:before="160" w:after="60" w:line="240" w:lineRule="exact"/>
        <w:jc w:val="left"/>
      </w:pPr>
      <w:r>
        <w:rPr>
          <w:rFonts w:ascii="Times New Roman" w:hAnsi="Times New Roman"/>
          <w:b/>
          <w:i w:val="0"/>
          <w:sz w:val="20"/>
          <w:u w:val="none"/>
        </w:rPr>
        <w:t>5.2  Movement Restoration Performance</w:t>
      </w:r>
    </w:p>
    <w:p>
      <w:pPr>
        <w:spacing w:before="0" w:after="80" w:line="240" w:lineRule="exact"/>
        <w:jc w:val="both"/>
      </w:pPr>
      <w:r>
        <w:rPr>
          <w:rFonts w:ascii="Times New Roman" w:hAnsi="Times New Roman"/>
          <w:b w:val="0"/>
          <w:i w:val="0"/>
          <w:sz w:val="20"/>
          <w:u w:val="none"/>
        </w:rPr>
        <w:t>The primary policy—RecurrentPPO trained on combined PD impairments—achieved r = 0.494 (std = 0.317) and a goal rate of 88.8% across 4,000 stratified episodes. Relative to the no-exoskeleton baseline (r = 0.223, goal rate = 65.1%), the exoskeleton improved trajectory match by 0.271 and goal achievement by 23.7 percentage points. Mean reward improved from 97.37 to 499.73.</w:t>
      </w:r>
    </w:p>
    <w:p>
      <w:pPr>
        <w:spacing w:before="0" w:after="80" w:line="240" w:lineRule="exact"/>
        <w:jc w:val="both"/>
      </w:pPr>
      <w:r>
        <w:rPr>
          <w:rFonts w:ascii="Times New Roman" w:hAnsi="Times New Roman"/>
          <w:b w:val="0"/>
          <w:i w:val="0"/>
          <w:sz w:val="20"/>
          <w:u w:val="none"/>
        </w:rPr>
        <w:t>Performance degraded predictably across severity quartiles: r = 0.654 at Q1, 0.522 at Q2, 0.417 at Q3, and 0.384 at Q4, with goal rates of 99.8%, 95.4%, 83.7%, and 76.4% respectively—consistent with the exoskeleton’s normalised torque ceiling being insufficient to fully compensate at extreme impairment levels.</w:t>
      </w:r>
    </w:p>
    <w:p>
      <w:pPr>
        <w:spacing w:before="0" w:after="80" w:line="240" w:lineRule="exact"/>
        <w:jc w:val="both"/>
      </w:pPr>
      <w:r>
        <w:rPr>
          <w:rFonts w:ascii="Times New Roman" w:hAnsi="Times New Roman"/>
          <w:b w:val="0"/>
          <w:i w:val="0"/>
          <w:sz w:val="20"/>
          <w:u w:val="none"/>
        </w:rPr>
        <w:t>Performance also varied by radian travelled. Trajectory match was lowest for smallest movements (r = 0.373, 0.0–0.5 rad bin, 39.2% of episodes) and highest for largest movements (r = 0.667, 1.5+ rad, 11.0%). Larger movements give the LSTM more timesteps to accumulate temporal context, improving inference of intent and impairment severity. The 0.0–0.5 rad bin—the most common and hardest—therefore disproportionately shapes the mean metric. Figure 5 shows the full 4×4 performance heatmap.</w:t>
      </w:r>
    </w:p>
    <w:p>
      <w:pPr>
        <w:spacing w:before="120" w:after="120"/>
        <w:jc w:val="center"/>
      </w:pPr>
      <w:r>
        <w:rPr>
          <w:rFonts w:ascii="Times New Roman" w:hAnsi="Times New Roman"/>
          <w:b w:val="0"/>
          <w:i/>
          <w:sz w:val="18"/>
          <w:u w:val="none"/>
        </w:rPr>
        <w:t>[Figure 5: Mean Pearson r heatmap — see fig5_heatmap.pdf]</w:t>
      </w:r>
    </w:p>
    <w:p>
      <w:pPr>
        <w:spacing w:before="160" w:after="60" w:line="240" w:lineRule="exact"/>
        <w:jc w:val="left"/>
      </w:pPr>
      <w:r>
        <w:rPr>
          <w:rFonts w:ascii="Times New Roman" w:hAnsi="Times New Roman"/>
          <w:b/>
          <w:i w:val="0"/>
          <w:sz w:val="20"/>
          <w:u w:val="none"/>
        </w:rPr>
        <w:t>5.3  Ablation 1: RecurrentPPO vs. MLP</w:t>
      </w:r>
    </w:p>
    <w:p>
      <w:pPr>
        <w:spacing w:before="0" w:after="80" w:line="240" w:lineRule="exact"/>
        <w:jc w:val="both"/>
      </w:pPr>
      <w:r>
        <w:rPr>
          <w:rFonts w:ascii="Times New Roman" w:hAnsi="Times New Roman"/>
          <w:b w:val="0"/>
          <w:i w:val="0"/>
          <w:sz w:val="20"/>
          <w:u w:val="none"/>
        </w:rPr>
        <w:t>RecurrentPPO achieved r = 0.494 versus the MLP’s r = 0.439 on the same 4,000 configurations, a gap of 0.055. Goal rates were close (88.8% vs. 89.0%), but RecurrentPPO produced higher mean reward (499.73 vs. 460.29, gap = 39.4)—indicating a smoother, more proportionate trajectory toward the goal rather than merely reaching the endpoint. The MLP stabilised at 512 timesteps; RecurrentPPO continued varying through the full run, reflecting higher sample complexity of learning a useful hidden state. Figure 9 compares the two architectures across severity quartiles: RecurrentPPO matches or exceeds the MLP in both trajectory match and reward at every quartile, with the gap widening at higher severity.</w:t>
      </w:r>
    </w:p>
    <w:p>
      <w:pPr>
        <w:spacing w:before="120" w:after="120"/>
        <w:jc w:val="center"/>
      </w:pPr>
      <w:r>
        <w:rPr>
          <w:rFonts w:ascii="Times New Roman" w:hAnsi="Times New Roman"/>
          <w:b w:val="0"/>
          <w:i/>
          <w:sz w:val="18"/>
          <w:u w:val="none"/>
        </w:rPr>
        <w:t>[Figure 9: Ablation 1 — see fig9_ablation1.pdf]</w:t>
      </w:r>
    </w:p>
    <w:p>
      <w:pPr>
        <w:spacing w:before="160" w:after="60" w:line="240" w:lineRule="exact"/>
        <w:jc w:val="left"/>
      </w:pPr>
      <w:r>
        <w:rPr>
          <w:rFonts w:ascii="Times New Roman" w:hAnsi="Times New Roman"/>
          <w:b/>
          <w:i w:val="0"/>
          <w:sz w:val="20"/>
          <w:u w:val="none"/>
        </w:rPr>
        <w:t>5.4  Ablation 2: Combined Impairment vs. Degeneration-Only Training</w:t>
      </w:r>
    </w:p>
    <w:p>
      <w:pPr>
        <w:spacing w:before="0" w:after="80" w:line="240" w:lineRule="exact"/>
        <w:jc w:val="both"/>
      </w:pPr>
      <w:r>
        <w:rPr>
          <w:rFonts w:ascii="Times New Roman" w:hAnsi="Times New Roman"/>
          <w:b w:val="0"/>
          <w:i w:val="0"/>
          <w:sz w:val="20"/>
          <w:u w:val="none"/>
        </w:rPr>
        <w:t>We claim that training on muscular degeneration alone produces a policy that fails under the full complexity of PD. Table 3 and Figure 4 test this directly.</w:t>
      </w:r>
    </w:p>
    <w:p>
      <w:pPr>
        <w:spacing w:after="40"/>
        <w:jc w:val="center"/>
      </w:pPr>
      <w:r>
        <w:rPr>
          <w:rFonts w:ascii="Times New Roman" w:hAnsi="Times New Roman"/>
          <w:b/>
          <w:i w:val="0"/>
          <w:sz w:val="18"/>
          <w:u w:val="none"/>
        </w:rPr>
        <w:t>Table 3. Ablation 2: RecurrentPPO brady+deg vs. deg-only, evaluated on the full brady+deg environment.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i w:val="0"/>
                <w:sz w:val="18"/>
                <w:u w:val="none"/>
              </w:rPr>
              <w:t>Quartile</w:t>
            </w:r>
          </w:p>
        </w:tc>
        <w:tc>
          <w:tcPr>
            <w:tcW w:type="dxa" w:w="1872"/>
          </w:tcPr>
          <w:p>
            <w:r/>
            <w:r>
              <w:rPr>
                <w:rFonts w:ascii="Times New Roman" w:hAnsi="Times New Roman"/>
                <w:b/>
                <w:i w:val="0"/>
                <w:sz w:val="18"/>
                <w:u w:val="none"/>
              </w:rPr>
              <w:t>r (brady+deg)</w:t>
            </w:r>
          </w:p>
        </w:tc>
        <w:tc>
          <w:tcPr>
            <w:tcW w:type="dxa" w:w="1872"/>
          </w:tcPr>
          <w:p>
            <w:r/>
            <w:r>
              <w:rPr>
                <w:rFonts w:ascii="Times New Roman" w:hAnsi="Times New Roman"/>
                <w:b/>
                <w:i w:val="0"/>
                <w:sz w:val="18"/>
                <w:u w:val="none"/>
              </w:rPr>
              <w:t>r (deg-only)</w:t>
            </w:r>
          </w:p>
        </w:tc>
        <w:tc>
          <w:tcPr>
            <w:tcW w:type="dxa" w:w="1872"/>
          </w:tcPr>
          <w:p>
            <w:r/>
            <w:r>
              <w:rPr>
                <w:rFonts w:ascii="Times New Roman" w:hAnsi="Times New Roman"/>
                <w:b/>
                <w:i w:val="0"/>
                <w:sz w:val="18"/>
                <w:u w:val="none"/>
              </w:rPr>
              <w:t>Reward (brady+deg)</w:t>
            </w:r>
          </w:p>
        </w:tc>
        <w:tc>
          <w:tcPr>
            <w:tcW w:type="dxa" w:w="1872"/>
          </w:tcPr>
          <w:p>
            <w:r/>
            <w:r>
              <w:rPr>
                <w:rFonts w:ascii="Times New Roman" w:hAnsi="Times New Roman"/>
                <w:b/>
                <w:i w:val="0"/>
                <w:sz w:val="18"/>
                <w:u w:val="none"/>
              </w:rPr>
              <w:t>Reward (deg-only)</w:t>
            </w:r>
          </w:p>
        </w:tc>
      </w:tr>
      <w:tr>
        <w:tc>
          <w:tcPr>
            <w:tcW w:type="dxa" w:w="1872"/>
          </w:tcPr>
          <w:p>
            <w:r/>
            <w:r>
              <w:rPr>
                <w:rFonts w:ascii="Times New Roman" w:hAnsi="Times New Roman"/>
                <w:b w:val="0"/>
                <w:i w:val="0"/>
                <w:sz w:val="18"/>
                <w:u w:val="none"/>
              </w:rPr>
              <w:t>Q1 mild</w:t>
            </w:r>
          </w:p>
        </w:tc>
        <w:tc>
          <w:tcPr>
            <w:tcW w:type="dxa" w:w="1872"/>
          </w:tcPr>
          <w:p>
            <w:r/>
            <w:r>
              <w:rPr>
                <w:rFonts w:ascii="Times New Roman" w:hAnsi="Times New Roman"/>
                <w:b w:val="0"/>
                <w:i w:val="0"/>
                <w:sz w:val="18"/>
                <w:u w:val="none"/>
              </w:rPr>
              <w:t>0.654</w:t>
            </w:r>
          </w:p>
        </w:tc>
        <w:tc>
          <w:tcPr>
            <w:tcW w:type="dxa" w:w="1872"/>
          </w:tcPr>
          <w:p>
            <w:r/>
            <w:r>
              <w:rPr>
                <w:rFonts w:ascii="Times New Roman" w:hAnsi="Times New Roman"/>
                <w:b w:val="0"/>
                <w:i w:val="0"/>
                <w:sz w:val="18"/>
                <w:u w:val="none"/>
              </w:rPr>
              <w:t>0.570</w:t>
            </w:r>
          </w:p>
        </w:tc>
        <w:tc>
          <w:tcPr>
            <w:tcW w:type="dxa" w:w="1872"/>
          </w:tcPr>
          <w:p>
            <w:r/>
            <w:r>
              <w:rPr>
                <w:rFonts w:ascii="Times New Roman" w:hAnsi="Times New Roman"/>
                <w:b w:val="0"/>
                <w:i w:val="0"/>
                <w:sz w:val="18"/>
                <w:u w:val="none"/>
              </w:rPr>
              <w:t>643.35</w:t>
            </w:r>
          </w:p>
        </w:tc>
        <w:tc>
          <w:tcPr>
            <w:tcW w:type="dxa" w:w="1872"/>
          </w:tcPr>
          <w:p>
            <w:r/>
            <w:r>
              <w:rPr>
                <w:rFonts w:ascii="Times New Roman" w:hAnsi="Times New Roman"/>
                <w:b w:val="0"/>
                <w:i w:val="0"/>
                <w:sz w:val="18"/>
                <w:u w:val="none"/>
              </w:rPr>
              <w:t>493.78</w:t>
            </w:r>
          </w:p>
        </w:tc>
      </w:tr>
      <w:tr>
        <w:tc>
          <w:tcPr>
            <w:tcW w:type="dxa" w:w="1872"/>
          </w:tcPr>
          <w:p>
            <w:r/>
            <w:r>
              <w:rPr>
                <w:rFonts w:ascii="Times New Roman" w:hAnsi="Times New Roman"/>
                <w:b w:val="0"/>
                <w:i w:val="0"/>
                <w:sz w:val="18"/>
                <w:u w:val="none"/>
              </w:rPr>
              <w:t>Q2</w:t>
            </w:r>
          </w:p>
        </w:tc>
        <w:tc>
          <w:tcPr>
            <w:tcW w:type="dxa" w:w="1872"/>
          </w:tcPr>
          <w:p>
            <w:r/>
            <w:r>
              <w:rPr>
                <w:rFonts w:ascii="Times New Roman" w:hAnsi="Times New Roman"/>
                <w:b w:val="0"/>
                <w:i w:val="0"/>
                <w:sz w:val="18"/>
                <w:u w:val="none"/>
              </w:rPr>
              <w:t>0.522</w:t>
            </w:r>
          </w:p>
        </w:tc>
        <w:tc>
          <w:tcPr>
            <w:tcW w:type="dxa" w:w="1872"/>
          </w:tcPr>
          <w:p>
            <w:r/>
            <w:r>
              <w:rPr>
                <w:rFonts w:ascii="Times New Roman" w:hAnsi="Times New Roman"/>
                <w:b w:val="0"/>
                <w:i w:val="0"/>
                <w:sz w:val="18"/>
                <w:u w:val="none"/>
              </w:rPr>
              <w:t>0.399</w:t>
            </w:r>
          </w:p>
        </w:tc>
        <w:tc>
          <w:tcPr>
            <w:tcW w:type="dxa" w:w="1872"/>
          </w:tcPr>
          <w:p>
            <w:r/>
            <w:r>
              <w:rPr>
                <w:rFonts w:ascii="Times New Roman" w:hAnsi="Times New Roman"/>
                <w:b w:val="0"/>
                <w:i w:val="0"/>
                <w:sz w:val="18"/>
                <w:u w:val="none"/>
              </w:rPr>
              <w:t>538.03</w:t>
            </w:r>
          </w:p>
        </w:tc>
        <w:tc>
          <w:tcPr>
            <w:tcW w:type="dxa" w:w="1872"/>
          </w:tcPr>
          <w:p>
            <w:r/>
            <w:r>
              <w:rPr>
                <w:rFonts w:ascii="Times New Roman" w:hAnsi="Times New Roman"/>
                <w:b w:val="0"/>
                <w:i w:val="0"/>
                <w:sz w:val="18"/>
                <w:u w:val="none"/>
              </w:rPr>
              <w:t>185.56</w:t>
            </w:r>
          </w:p>
        </w:tc>
      </w:tr>
      <w:tr>
        <w:tc>
          <w:tcPr>
            <w:tcW w:type="dxa" w:w="1872"/>
          </w:tcPr>
          <w:p>
            <w:r/>
            <w:r>
              <w:rPr>
                <w:rFonts w:ascii="Times New Roman" w:hAnsi="Times New Roman"/>
                <w:b w:val="0"/>
                <w:i w:val="0"/>
                <w:sz w:val="18"/>
                <w:u w:val="none"/>
              </w:rPr>
              <w:t>Q3</w:t>
            </w:r>
          </w:p>
        </w:tc>
        <w:tc>
          <w:tcPr>
            <w:tcW w:type="dxa" w:w="1872"/>
          </w:tcPr>
          <w:p>
            <w:r/>
            <w:r>
              <w:rPr>
                <w:rFonts w:ascii="Times New Roman" w:hAnsi="Times New Roman"/>
                <w:b w:val="0"/>
                <w:i w:val="0"/>
                <w:sz w:val="18"/>
                <w:u w:val="none"/>
              </w:rPr>
              <w:t>0.417</w:t>
            </w:r>
          </w:p>
        </w:tc>
        <w:tc>
          <w:tcPr>
            <w:tcW w:type="dxa" w:w="1872"/>
          </w:tcPr>
          <w:p>
            <w:r/>
            <w:r>
              <w:rPr>
                <w:rFonts w:ascii="Times New Roman" w:hAnsi="Times New Roman"/>
                <w:b w:val="0"/>
                <w:i w:val="0"/>
                <w:sz w:val="18"/>
                <w:u w:val="none"/>
              </w:rPr>
              <w:t>0.276</w:t>
            </w:r>
          </w:p>
        </w:tc>
        <w:tc>
          <w:tcPr>
            <w:tcW w:type="dxa" w:w="1872"/>
          </w:tcPr>
          <w:p>
            <w:r/>
            <w:r>
              <w:rPr>
                <w:rFonts w:ascii="Times New Roman" w:hAnsi="Times New Roman"/>
                <w:b w:val="0"/>
                <w:i w:val="0"/>
                <w:sz w:val="18"/>
                <w:u w:val="none"/>
              </w:rPr>
              <w:t>435.25</w:t>
            </w:r>
          </w:p>
        </w:tc>
        <w:tc>
          <w:tcPr>
            <w:tcW w:type="dxa" w:w="1872"/>
          </w:tcPr>
          <w:p>
            <w:r/>
            <w:r>
              <w:rPr>
                <w:rFonts w:ascii="Times New Roman" w:hAnsi="Times New Roman"/>
                <w:b w:val="0"/>
                <w:i w:val="0"/>
                <w:sz w:val="18"/>
                <w:u w:val="none"/>
              </w:rPr>
              <w:t>39.86</w:t>
            </w:r>
          </w:p>
        </w:tc>
      </w:tr>
      <w:tr>
        <w:tc>
          <w:tcPr>
            <w:tcW w:type="dxa" w:w="1872"/>
          </w:tcPr>
          <w:p>
            <w:r/>
            <w:r>
              <w:rPr>
                <w:rFonts w:ascii="Times New Roman" w:hAnsi="Times New Roman"/>
                <w:b w:val="0"/>
                <w:i w:val="0"/>
                <w:sz w:val="18"/>
                <w:u w:val="none"/>
              </w:rPr>
              <w:t>Q4 severe</w:t>
            </w:r>
          </w:p>
        </w:tc>
        <w:tc>
          <w:tcPr>
            <w:tcW w:type="dxa" w:w="1872"/>
          </w:tcPr>
          <w:p>
            <w:r/>
            <w:r>
              <w:rPr>
                <w:rFonts w:ascii="Times New Roman" w:hAnsi="Times New Roman"/>
                <w:b w:val="0"/>
                <w:i w:val="0"/>
                <w:sz w:val="18"/>
                <w:u w:val="none"/>
              </w:rPr>
              <w:t>0.384</w:t>
            </w:r>
          </w:p>
        </w:tc>
        <w:tc>
          <w:tcPr>
            <w:tcW w:type="dxa" w:w="1872"/>
          </w:tcPr>
          <w:p>
            <w:r/>
            <w:r>
              <w:rPr>
                <w:rFonts w:ascii="Times New Roman" w:hAnsi="Times New Roman"/>
                <w:b w:val="0"/>
                <w:i w:val="0"/>
                <w:sz w:val="18"/>
                <w:u w:val="none"/>
              </w:rPr>
              <w:t>0.211</w:t>
            </w:r>
          </w:p>
        </w:tc>
        <w:tc>
          <w:tcPr>
            <w:tcW w:type="dxa" w:w="1872"/>
          </w:tcPr>
          <w:p>
            <w:r/>
            <w:r>
              <w:rPr>
                <w:rFonts w:ascii="Times New Roman" w:hAnsi="Times New Roman"/>
                <w:b w:val="0"/>
                <w:i w:val="0"/>
                <w:sz w:val="18"/>
                <w:u w:val="none"/>
              </w:rPr>
              <w:t>382.30</w:t>
            </w:r>
          </w:p>
        </w:tc>
        <w:tc>
          <w:tcPr>
            <w:tcW w:type="dxa" w:w="1872"/>
          </w:tcPr>
          <w:p>
            <w:r/>
            <w:r>
              <w:rPr>
                <w:rFonts w:ascii="Times New Roman" w:hAnsi="Times New Roman"/>
                <w:b w:val="0"/>
                <w:i w:val="0"/>
                <w:sz w:val="18"/>
                <w:u w:val="none"/>
              </w:rPr>
              <w:t>9.26</w:t>
            </w:r>
          </w:p>
        </w:tc>
      </w:tr>
      <w:tr>
        <w:tc>
          <w:tcPr>
            <w:tcW w:type="dxa" w:w="1872"/>
          </w:tcPr>
          <w:p>
            <w:r/>
            <w:r>
              <w:rPr>
                <w:rFonts w:ascii="Times New Roman" w:hAnsi="Times New Roman"/>
                <w:b/>
                <w:i w:val="0"/>
                <w:sz w:val="18"/>
                <w:u w:val="none"/>
              </w:rPr>
              <w:t>Overall</w:t>
            </w:r>
          </w:p>
        </w:tc>
        <w:tc>
          <w:tcPr>
            <w:tcW w:type="dxa" w:w="1872"/>
          </w:tcPr>
          <w:p>
            <w:r/>
            <w:r>
              <w:rPr>
                <w:rFonts w:ascii="Times New Roman" w:hAnsi="Times New Roman"/>
                <w:b/>
                <w:i w:val="0"/>
                <w:sz w:val="18"/>
                <w:u w:val="none"/>
              </w:rPr>
              <w:t>0.494</w:t>
            </w:r>
          </w:p>
        </w:tc>
        <w:tc>
          <w:tcPr>
            <w:tcW w:type="dxa" w:w="1872"/>
          </w:tcPr>
          <w:p>
            <w:r/>
            <w:r>
              <w:rPr>
                <w:rFonts w:ascii="Times New Roman" w:hAnsi="Times New Roman"/>
                <w:b/>
                <w:i w:val="0"/>
                <w:sz w:val="18"/>
                <w:u w:val="none"/>
              </w:rPr>
              <w:t>0.364</w:t>
            </w:r>
          </w:p>
        </w:tc>
        <w:tc>
          <w:tcPr>
            <w:tcW w:type="dxa" w:w="1872"/>
          </w:tcPr>
          <w:p>
            <w:r/>
            <w:r>
              <w:rPr>
                <w:rFonts w:ascii="Times New Roman" w:hAnsi="Times New Roman"/>
                <w:b/>
                <w:i w:val="0"/>
                <w:sz w:val="18"/>
                <w:u w:val="none"/>
              </w:rPr>
              <w:t>499.73</w:t>
            </w:r>
          </w:p>
        </w:tc>
        <w:tc>
          <w:tcPr>
            <w:tcW w:type="dxa" w:w="1872"/>
          </w:tcPr>
          <w:p>
            <w:r/>
            <w:r>
              <w:rPr>
                <w:rFonts w:ascii="Times New Roman" w:hAnsi="Times New Roman"/>
                <w:b/>
                <w:i w:val="0"/>
                <w:sz w:val="18"/>
                <w:u w:val="none"/>
              </w:rPr>
              <w:t>182.12</w:t>
            </w:r>
          </w:p>
        </w:tc>
      </w:tr>
    </w:tbl>
    <w:p>
      <w:pPr>
        <w:spacing w:before="120" w:after="120"/>
        <w:jc w:val="center"/>
      </w:pPr>
      <w:r>
        <w:rPr>
          <w:rFonts w:ascii="Times New Roman" w:hAnsi="Times New Roman"/>
          <w:b w:val="0"/>
          <w:i/>
          <w:sz w:val="18"/>
          <w:u w:val="none"/>
        </w:rPr>
        <w:t>[Figure 4: Ablation 2 severity — see fig4_ablation_severity.pdf]</w:t>
      </w:r>
    </w:p>
    <w:p>
      <w:pPr>
        <w:spacing w:before="0" w:after="80" w:line="240" w:lineRule="exact"/>
        <w:jc w:val="both"/>
      </w:pPr>
      <w:r>
        <w:rPr>
          <w:rFonts w:ascii="Times New Roman" w:hAnsi="Times New Roman"/>
          <w:b w:val="0"/>
          <w:i w:val="0"/>
          <w:sz w:val="20"/>
          <w:u w:val="none"/>
        </w:rPr>
        <w:t>The degeneration-only RecurrentPPO achieved r = 0.364 (std = 0.404), a gap of 0.130 from the combined-trained policy. Goal achievement fell from 88.8% to 78.9%. Most critically, at Q4 severe the degeneration-only policy collapsed to r = 0.211 and a mean reward of 9.26, compared to r = 0.384 and 382.30 for the combined policy. The degeneration-only policy’s standard deviation grows from 0.281 at Q1 to 0.446 at Q4, while the combined policy stays bounded (0.260–0.341). This pattern is consistent with the degeneration-only agent having never learned the temporal delay pattern of akinesia: when bradykinesia is mild the missing model matters little, but as intensity increases the agent’s inability to time torque corrections compounds, producing both lower mean performance and higher variance.</w:t>
      </w:r>
    </w:p>
    <w:p>
      <w:pPr>
        <w:spacing w:before="0" w:after="80" w:line="240" w:lineRule="exact"/>
        <w:jc w:val="both"/>
      </w:pPr>
      <w:r>
        <w:rPr>
          <w:rFonts w:ascii="Times New Roman" w:hAnsi="Times New Roman"/>
          <w:b w:val="0"/>
          <w:i w:val="0"/>
          <w:sz w:val="20"/>
          <w:u w:val="none"/>
        </w:rPr>
        <w:t>For MLP architectures, the same comparison showed a negligible and reversed gap (r = 0.439 brady+deg vs. r = 0.443 deg-only). This null result, contrasted with the 0.130 RecurrentPPO gap, confirms that the benefit of combined-impairment training is conditional on the policy’s capacity to exploit it. The LSTM’s hidden state is what allows combined-impairment training to translate into combined-impairment competence.</w:t>
      </w:r>
    </w:p>
    <w:p>
      <w:pPr>
        <w:spacing w:before="0" w:after="80" w:line="240" w:lineRule="exact"/>
        <w:jc w:val="both"/>
      </w:pPr>
      <w:r>
        <w:rPr>
          <w:rFonts w:ascii="Times New Roman" w:hAnsi="Times New Roman"/>
          <w:b w:val="0"/>
          <w:i w:val="0"/>
          <w:sz w:val="20"/>
          <w:u w:val="none"/>
        </w:rPr>
        <w:t>Figure 6 shows performance broken down by radian travelled across all policies.</w:t>
      </w:r>
    </w:p>
    <w:p>
      <w:pPr>
        <w:spacing w:before="120" w:after="120"/>
        <w:jc w:val="center"/>
      </w:pPr>
      <w:r>
        <w:rPr>
          <w:rFonts w:ascii="Times New Roman" w:hAnsi="Times New Roman"/>
          <w:b w:val="0"/>
          <w:i/>
          <w:sz w:val="18"/>
          <w:u w:val="none"/>
        </w:rPr>
        <w:t>[Figure 6: Radian-travelled performance — see fig6_radian_performance.pdf]</w:t>
      </w:r>
    </w:p>
    <w:p>
      <w:pPr>
        <w:spacing w:before="160" w:after="60" w:line="240" w:lineRule="exact"/>
        <w:jc w:val="left"/>
      </w:pPr>
      <w:r>
        <w:rPr>
          <w:rFonts w:ascii="Times New Roman" w:hAnsi="Times New Roman"/>
          <w:b/>
          <w:i w:val="0"/>
          <w:sz w:val="20"/>
          <w:u w:val="none"/>
        </w:rPr>
        <w:t>5.5  Ablation 3: Noise Robustness</w:t>
      </w:r>
    </w:p>
    <w:p>
      <w:pPr>
        <w:spacing w:before="0" w:after="80" w:line="240" w:lineRule="exact"/>
        <w:jc w:val="both"/>
      </w:pPr>
      <w:r>
        <w:rPr>
          <w:rFonts w:ascii="Times New Roman" w:hAnsi="Times New Roman"/>
          <w:b w:val="0"/>
          <w:i w:val="0"/>
          <w:sz w:val="20"/>
          <w:u w:val="none"/>
        </w:rPr>
        <w:t>RecurrentPPO was compared against a noise-trained variant across four noise levels (σ = 0.00, 0.01, 0.05, 0.10) injected into muscle activation observations only. The noise-trained policy was initially trained for 1,500,000 timesteps in a clean environment, then fine-tuned for a further 1,500,000 timesteps in a noisy environment with σ ∼ Uniform(0.01, 0.10) per episode.</w:t>
      </w:r>
    </w:p>
    <w:p>
      <w:pPr>
        <w:spacing w:before="0" w:after="80" w:line="240" w:lineRule="exact"/>
        <w:jc w:val="both"/>
      </w:pPr>
      <w:r>
        <w:rPr>
          <w:rFonts w:ascii="Times New Roman" w:hAnsi="Times New Roman"/>
          <w:b w:val="0"/>
          <w:i w:val="0"/>
          <w:sz w:val="20"/>
          <w:u w:val="none"/>
        </w:rPr>
        <w:t>Both policies maintained strong trajectory match across the full noise range (Figure 7). The clean RecurrentPPO declined by only Δr = 0.011 from σ = 0.00 to σ = 0.10. The noise-trained variant maintained slightly higher performance, though the gap is small. These results demonstrate that the LSTM’s temporal integration provides inherent noise robustness—the recurrent hidden state effectively filters transient signal corruption. The tested range reflects realistic sEMG sensing conditions: literature establishes adequate sEMG SNR at ≥18 dB [PMC, 2021].</w:t>
      </w:r>
    </w:p>
    <w:p>
      <w:pPr>
        <w:spacing w:before="120" w:after="120"/>
        <w:jc w:val="center"/>
      </w:pPr>
      <w:r>
        <w:rPr>
          <w:rFonts w:ascii="Times New Roman" w:hAnsi="Times New Roman"/>
          <w:b w:val="0"/>
          <w:i/>
          <w:sz w:val="18"/>
          <w:u w:val="none"/>
        </w:rPr>
        <w:t>[Figure 7: Noise robustness — see fig7_noise_robustness.pdf]</w:t>
      </w:r>
    </w:p>
    <w:p>
      <w:pPr>
        <w:spacing w:after="40"/>
        <w:jc w:val="center"/>
      </w:pPr>
      <w:r>
        <w:rPr>
          <w:rFonts w:ascii="Times New Roman" w:hAnsi="Times New Roman"/>
          <w:b/>
          <w:i w:val="0"/>
          <w:sz w:val="18"/>
          <w:u w:val="none"/>
        </w:rPr>
        <w:t>Table 4. Noise robustness — Pearson r and goal rate.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i w:val="0"/>
                <w:sz w:val="18"/>
                <w:u w:val="none"/>
              </w:rPr>
              <w:t>σ</w:t>
            </w:r>
          </w:p>
        </w:tc>
        <w:tc>
          <w:tcPr>
            <w:tcW w:type="dxa" w:w="1872"/>
          </w:tcPr>
          <w:p>
            <w:r/>
            <w:r>
              <w:rPr>
                <w:rFonts w:ascii="Times New Roman" w:hAnsi="Times New Roman"/>
                <w:b/>
                <w:i w:val="0"/>
                <w:sz w:val="18"/>
                <w:u w:val="none"/>
              </w:rPr>
              <w:t>r (Clean)</w:t>
            </w:r>
          </w:p>
        </w:tc>
        <w:tc>
          <w:tcPr>
            <w:tcW w:type="dxa" w:w="1872"/>
          </w:tcPr>
          <w:p>
            <w:r/>
            <w:r>
              <w:rPr>
                <w:rFonts w:ascii="Times New Roman" w:hAnsi="Times New Roman"/>
                <w:b/>
                <w:i w:val="0"/>
                <w:sz w:val="18"/>
                <w:u w:val="none"/>
              </w:rPr>
              <w:t>Goal (Clean)</w:t>
            </w:r>
          </w:p>
        </w:tc>
        <w:tc>
          <w:tcPr>
            <w:tcW w:type="dxa" w:w="1872"/>
          </w:tcPr>
          <w:p>
            <w:r/>
            <w:r>
              <w:rPr>
                <w:rFonts w:ascii="Times New Roman" w:hAnsi="Times New Roman"/>
                <w:b/>
                <w:i w:val="0"/>
                <w:sz w:val="18"/>
                <w:u w:val="none"/>
              </w:rPr>
              <w:t>r (Noisy-trained)</w:t>
            </w:r>
          </w:p>
        </w:tc>
        <w:tc>
          <w:tcPr>
            <w:tcW w:type="dxa" w:w="1872"/>
          </w:tcPr>
          <w:p>
            <w:r/>
            <w:r>
              <w:rPr>
                <w:rFonts w:ascii="Times New Roman" w:hAnsi="Times New Roman"/>
                <w:b/>
                <w:i w:val="0"/>
                <w:sz w:val="18"/>
                <w:u w:val="none"/>
              </w:rPr>
              <w:t>Goal (Noisy-trained)</w:t>
            </w:r>
          </w:p>
        </w:tc>
      </w:tr>
      <w:tr>
        <w:tc>
          <w:tcPr>
            <w:tcW w:type="dxa" w:w="1872"/>
          </w:tcPr>
          <w:p>
            <w:r/>
            <w:r>
              <w:rPr>
                <w:rFonts w:ascii="Times New Roman" w:hAnsi="Times New Roman"/>
                <w:b w:val="0"/>
                <w:i w:val="0"/>
                <w:sz w:val="18"/>
                <w:u w:val="none"/>
              </w:rPr>
              <w:t>0.00</w:t>
            </w:r>
          </w:p>
        </w:tc>
        <w:tc>
          <w:tcPr>
            <w:tcW w:type="dxa" w:w="1872"/>
          </w:tcPr>
          <w:p>
            <w:r/>
            <w:r>
              <w:rPr>
                <w:rFonts w:ascii="Times New Roman" w:hAnsi="Times New Roman"/>
                <w:b w:val="0"/>
                <w:i w:val="0"/>
                <w:sz w:val="18"/>
                <w:u w:val="none"/>
              </w:rPr>
              <w:t>0.632</w:t>
            </w:r>
          </w:p>
        </w:tc>
        <w:tc>
          <w:tcPr>
            <w:tcW w:type="dxa" w:w="1872"/>
          </w:tcPr>
          <w:p>
            <w:r/>
            <w:r>
              <w:rPr>
                <w:rFonts w:ascii="Times New Roman" w:hAnsi="Times New Roman"/>
                <w:b w:val="0"/>
                <w:i w:val="0"/>
                <w:sz w:val="18"/>
                <w:u w:val="none"/>
              </w:rPr>
              <w:t>0.906</w:t>
            </w:r>
          </w:p>
        </w:tc>
        <w:tc>
          <w:tcPr>
            <w:tcW w:type="dxa" w:w="1872"/>
          </w:tcPr>
          <w:p>
            <w:r/>
            <w:r>
              <w:rPr>
                <w:rFonts w:ascii="Times New Roman" w:hAnsi="Times New Roman"/>
                <w:b w:val="0"/>
                <w:i w:val="0"/>
                <w:sz w:val="18"/>
                <w:u w:val="none"/>
              </w:rPr>
              <w:t>0.638</w:t>
            </w:r>
          </w:p>
        </w:tc>
        <w:tc>
          <w:tcPr>
            <w:tcW w:type="dxa" w:w="1872"/>
          </w:tcPr>
          <w:p>
            <w:r/>
            <w:r>
              <w:rPr>
                <w:rFonts w:ascii="Times New Roman" w:hAnsi="Times New Roman"/>
                <w:b w:val="0"/>
                <w:i w:val="0"/>
                <w:sz w:val="18"/>
                <w:u w:val="none"/>
              </w:rPr>
              <w:t>0.923</w:t>
            </w:r>
          </w:p>
        </w:tc>
      </w:tr>
      <w:tr>
        <w:tc>
          <w:tcPr>
            <w:tcW w:type="dxa" w:w="1872"/>
          </w:tcPr>
          <w:p>
            <w:r/>
            <w:r>
              <w:rPr>
                <w:rFonts w:ascii="Times New Roman" w:hAnsi="Times New Roman"/>
                <w:b w:val="0"/>
                <w:i w:val="0"/>
                <w:sz w:val="18"/>
                <w:u w:val="none"/>
              </w:rPr>
              <w:t>0.01</w:t>
            </w:r>
          </w:p>
        </w:tc>
        <w:tc>
          <w:tcPr>
            <w:tcW w:type="dxa" w:w="1872"/>
          </w:tcPr>
          <w:p>
            <w:r/>
            <w:r>
              <w:rPr>
                <w:rFonts w:ascii="Times New Roman" w:hAnsi="Times New Roman"/>
                <w:b w:val="0"/>
                <w:i w:val="0"/>
                <w:sz w:val="18"/>
                <w:u w:val="none"/>
              </w:rPr>
              <w:t>0.628</w:t>
            </w:r>
          </w:p>
        </w:tc>
        <w:tc>
          <w:tcPr>
            <w:tcW w:type="dxa" w:w="1872"/>
          </w:tcPr>
          <w:p>
            <w:r/>
            <w:r>
              <w:rPr>
                <w:rFonts w:ascii="Times New Roman" w:hAnsi="Times New Roman"/>
                <w:b w:val="0"/>
                <w:i w:val="0"/>
                <w:sz w:val="18"/>
                <w:u w:val="none"/>
              </w:rPr>
              <w:t>0.897</w:t>
            </w:r>
          </w:p>
        </w:tc>
        <w:tc>
          <w:tcPr>
            <w:tcW w:type="dxa" w:w="1872"/>
          </w:tcPr>
          <w:p>
            <w:r/>
            <w:r>
              <w:rPr>
                <w:rFonts w:ascii="Times New Roman" w:hAnsi="Times New Roman"/>
                <w:b w:val="0"/>
                <w:i w:val="0"/>
                <w:sz w:val="18"/>
                <w:u w:val="none"/>
              </w:rPr>
              <w:t>0.636</w:t>
            </w:r>
          </w:p>
        </w:tc>
        <w:tc>
          <w:tcPr>
            <w:tcW w:type="dxa" w:w="1872"/>
          </w:tcPr>
          <w:p>
            <w:r/>
            <w:r>
              <w:rPr>
                <w:rFonts w:ascii="Times New Roman" w:hAnsi="Times New Roman"/>
                <w:b w:val="0"/>
                <w:i w:val="0"/>
                <w:sz w:val="18"/>
                <w:u w:val="none"/>
              </w:rPr>
              <w:t>0.895</w:t>
            </w:r>
          </w:p>
        </w:tc>
      </w:tr>
      <w:tr>
        <w:tc>
          <w:tcPr>
            <w:tcW w:type="dxa" w:w="1872"/>
          </w:tcPr>
          <w:p>
            <w:r/>
            <w:r>
              <w:rPr>
                <w:rFonts w:ascii="Times New Roman" w:hAnsi="Times New Roman"/>
                <w:b w:val="0"/>
                <w:i w:val="0"/>
                <w:sz w:val="18"/>
                <w:u w:val="none"/>
              </w:rPr>
              <w:t>0.05</w:t>
            </w:r>
          </w:p>
        </w:tc>
        <w:tc>
          <w:tcPr>
            <w:tcW w:type="dxa" w:w="1872"/>
          </w:tcPr>
          <w:p>
            <w:r/>
            <w:r>
              <w:rPr>
                <w:rFonts w:ascii="Times New Roman" w:hAnsi="Times New Roman"/>
                <w:b w:val="0"/>
                <w:i w:val="0"/>
                <w:sz w:val="18"/>
                <w:u w:val="none"/>
              </w:rPr>
              <w:t>0.626</w:t>
            </w:r>
          </w:p>
        </w:tc>
        <w:tc>
          <w:tcPr>
            <w:tcW w:type="dxa" w:w="1872"/>
          </w:tcPr>
          <w:p>
            <w:r/>
            <w:r>
              <w:rPr>
                <w:rFonts w:ascii="Times New Roman" w:hAnsi="Times New Roman"/>
                <w:b w:val="0"/>
                <w:i w:val="0"/>
                <w:sz w:val="18"/>
                <w:u w:val="none"/>
              </w:rPr>
              <w:t>0.903</w:t>
            </w:r>
          </w:p>
        </w:tc>
        <w:tc>
          <w:tcPr>
            <w:tcW w:type="dxa" w:w="1872"/>
          </w:tcPr>
          <w:p>
            <w:r/>
            <w:r>
              <w:rPr>
                <w:rFonts w:ascii="Times New Roman" w:hAnsi="Times New Roman"/>
                <w:b w:val="0"/>
                <w:i w:val="0"/>
                <w:sz w:val="18"/>
                <w:u w:val="none"/>
              </w:rPr>
              <w:t>0.632</w:t>
            </w:r>
          </w:p>
        </w:tc>
        <w:tc>
          <w:tcPr>
            <w:tcW w:type="dxa" w:w="1872"/>
          </w:tcPr>
          <w:p>
            <w:r/>
            <w:r>
              <w:rPr>
                <w:rFonts w:ascii="Times New Roman" w:hAnsi="Times New Roman"/>
                <w:b w:val="0"/>
                <w:i w:val="0"/>
                <w:sz w:val="18"/>
                <w:u w:val="none"/>
              </w:rPr>
              <w:t>0.897</w:t>
            </w:r>
          </w:p>
        </w:tc>
      </w:tr>
      <w:tr>
        <w:tc>
          <w:tcPr>
            <w:tcW w:type="dxa" w:w="1872"/>
          </w:tcPr>
          <w:p>
            <w:r/>
            <w:r>
              <w:rPr>
                <w:rFonts w:ascii="Times New Roman" w:hAnsi="Times New Roman"/>
                <w:b w:val="0"/>
                <w:i w:val="0"/>
                <w:sz w:val="18"/>
                <w:u w:val="none"/>
              </w:rPr>
              <w:t>0.10</w:t>
            </w:r>
          </w:p>
        </w:tc>
        <w:tc>
          <w:tcPr>
            <w:tcW w:type="dxa" w:w="1872"/>
          </w:tcPr>
          <w:p>
            <w:r/>
            <w:r>
              <w:rPr>
                <w:rFonts w:ascii="Times New Roman" w:hAnsi="Times New Roman"/>
                <w:b w:val="0"/>
                <w:i w:val="0"/>
                <w:sz w:val="18"/>
                <w:u w:val="none"/>
              </w:rPr>
              <w:t>0.621</w:t>
            </w:r>
          </w:p>
        </w:tc>
        <w:tc>
          <w:tcPr>
            <w:tcW w:type="dxa" w:w="1872"/>
          </w:tcPr>
          <w:p>
            <w:r/>
            <w:r>
              <w:rPr>
                <w:rFonts w:ascii="Times New Roman" w:hAnsi="Times New Roman"/>
                <w:b w:val="0"/>
                <w:i w:val="0"/>
                <w:sz w:val="18"/>
                <w:u w:val="none"/>
              </w:rPr>
              <w:t>0.899</w:t>
            </w:r>
          </w:p>
        </w:tc>
        <w:tc>
          <w:tcPr>
            <w:tcW w:type="dxa" w:w="1872"/>
          </w:tcPr>
          <w:p>
            <w:r/>
            <w:r>
              <w:rPr>
                <w:rFonts w:ascii="Times New Roman" w:hAnsi="Times New Roman"/>
                <w:b w:val="0"/>
                <w:i w:val="0"/>
                <w:sz w:val="18"/>
                <w:u w:val="none"/>
              </w:rPr>
              <w:t>0.630</w:t>
            </w:r>
          </w:p>
        </w:tc>
        <w:tc>
          <w:tcPr>
            <w:tcW w:type="dxa" w:w="1872"/>
          </w:tcPr>
          <w:p>
            <w:r/>
            <w:r>
              <w:rPr>
                <w:rFonts w:ascii="Times New Roman" w:hAnsi="Times New Roman"/>
                <w:b w:val="0"/>
                <w:i w:val="0"/>
                <w:sz w:val="18"/>
                <w:u w:val="none"/>
              </w:rPr>
              <w:t>0.897</w:t>
            </w:r>
          </w:p>
        </w:tc>
      </w:tr>
    </w:tbl>
    <w:p>
      <w:pPr>
        <w:spacing w:before="160" w:after="60" w:line="240" w:lineRule="exact"/>
        <w:jc w:val="left"/>
      </w:pPr>
      <w:r>
        <w:rPr>
          <w:rFonts w:ascii="Times New Roman" w:hAnsi="Times New Roman"/>
          <w:b/>
          <w:i w:val="0"/>
          <w:sz w:val="20"/>
          <w:u w:val="none"/>
        </w:rPr>
        <w:t>5.6  Summary</w:t>
      </w:r>
    </w:p>
    <w:p>
      <w:pPr>
        <w:spacing w:before="0" w:after="80" w:line="240" w:lineRule="exact"/>
        <w:jc w:val="both"/>
      </w:pPr>
      <w:r>
        <w:rPr>
          <w:rFonts w:ascii="Times New Roman" w:hAnsi="Times New Roman"/>
          <w:b w:val="0"/>
          <w:i w:val="0"/>
          <w:sz w:val="20"/>
          <w:u w:val="none"/>
        </w:rPr>
        <w:t>Table 5 presents the full evaluation summary across all policies.</w:t>
      </w:r>
    </w:p>
    <w:p>
      <w:pPr>
        <w:spacing w:after="40"/>
        <w:jc w:val="center"/>
      </w:pPr>
      <w:r>
        <w:rPr>
          <w:rFonts w:ascii="Times New Roman" w:hAnsi="Times New Roman"/>
          <w:b/>
          <w:i w:val="0"/>
          <w:sz w:val="18"/>
          <w:u w:val="none"/>
        </w:rPr>
        <w:t>Table 5. Full evaluation summary (4,000 shared episodes, brady+deg environment).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bl>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i w:val="0"/>
                <w:sz w:val="18"/>
                <w:u w:val="none"/>
              </w:rPr>
              <w:t>Policy</w:t>
            </w:r>
          </w:p>
        </w:tc>
        <w:tc>
          <w:tcPr>
            <w:tcW w:type="dxa" w:w="1872"/>
          </w:tcPr>
          <w:p>
            <w:r/>
            <w:r>
              <w:rPr>
                <w:rFonts w:ascii="Times New Roman" w:hAnsi="Times New Roman"/>
                <w:b/>
                <w:i w:val="0"/>
                <w:sz w:val="18"/>
                <w:u w:val="none"/>
              </w:rPr>
              <w:t>Architecture</w:t>
            </w:r>
          </w:p>
        </w:tc>
        <w:tc>
          <w:tcPr>
            <w:tcW w:type="dxa" w:w="1872"/>
          </w:tcPr>
          <w:p>
            <w:r/>
            <w:r>
              <w:rPr>
                <w:rFonts w:ascii="Times New Roman" w:hAnsi="Times New Roman"/>
                <w:b/>
                <w:i w:val="0"/>
                <w:sz w:val="18"/>
                <w:u w:val="none"/>
              </w:rPr>
              <w:t>Pearson r</w:t>
            </w:r>
          </w:p>
        </w:tc>
        <w:tc>
          <w:tcPr>
            <w:tcW w:type="dxa" w:w="1872"/>
          </w:tcPr>
          <w:p>
            <w:r/>
            <w:r>
              <w:rPr>
                <w:rFonts w:ascii="Times New Roman" w:hAnsi="Times New Roman"/>
                <w:b/>
                <w:i w:val="0"/>
                <w:sz w:val="18"/>
                <w:u w:val="none"/>
              </w:rPr>
              <w:t>Goal Rate</w:t>
            </w:r>
          </w:p>
        </w:tc>
        <w:tc>
          <w:tcPr>
            <w:tcW w:type="dxa" w:w="1872"/>
          </w:tcPr>
          <w:p>
            <w:r/>
            <w:r>
              <w:rPr>
                <w:rFonts w:ascii="Times New Roman" w:hAnsi="Times New Roman"/>
                <w:b/>
                <w:i w:val="0"/>
                <w:sz w:val="18"/>
                <w:u w:val="none"/>
              </w:rPr>
              <w:t>Mean Reward</w:t>
            </w:r>
          </w:p>
        </w:tc>
      </w:tr>
      <w:tr>
        <w:tc>
          <w:tcPr>
            <w:tcW w:type="dxa" w:w="1872"/>
          </w:tcPr>
          <w:p>
            <w:r/>
            <w:r>
              <w:rPr>
                <w:rFonts w:ascii="Times New Roman" w:hAnsi="Times New Roman"/>
                <w:b w:val="0"/>
                <w:i w:val="0"/>
                <w:sz w:val="18"/>
                <w:u w:val="none"/>
              </w:rPr>
              <w:t>No exoskeleton</w:t>
            </w:r>
          </w:p>
        </w:tc>
        <w:tc>
          <w:tcPr>
            <w:tcW w:type="dxa" w:w="1872"/>
          </w:tcPr>
          <w:p>
            <w:r/>
            <w:r>
              <w:rPr>
                <w:rFonts w:ascii="Times New Roman" w:hAnsi="Times New Roman"/>
                <w:b w:val="0"/>
                <w:i w:val="0"/>
                <w:sz w:val="18"/>
                <w:u w:val="none"/>
              </w:rPr>
              <w:t>---</w:t>
            </w:r>
          </w:p>
        </w:tc>
        <w:tc>
          <w:tcPr>
            <w:tcW w:type="dxa" w:w="1872"/>
          </w:tcPr>
          <w:p>
            <w:r/>
            <w:r>
              <w:rPr>
                <w:rFonts w:ascii="Times New Roman" w:hAnsi="Times New Roman"/>
                <w:b w:val="0"/>
                <w:i w:val="0"/>
                <w:sz w:val="18"/>
                <w:u w:val="none"/>
              </w:rPr>
              <w:t>0.223</w:t>
            </w:r>
          </w:p>
        </w:tc>
        <w:tc>
          <w:tcPr>
            <w:tcW w:type="dxa" w:w="1872"/>
          </w:tcPr>
          <w:p>
            <w:r/>
            <w:r>
              <w:rPr>
                <w:rFonts w:ascii="Times New Roman" w:hAnsi="Times New Roman"/>
                <w:b w:val="0"/>
                <w:i w:val="0"/>
                <w:sz w:val="18"/>
                <w:u w:val="none"/>
              </w:rPr>
              <w:t>0.651</w:t>
            </w:r>
          </w:p>
        </w:tc>
        <w:tc>
          <w:tcPr>
            <w:tcW w:type="dxa" w:w="1872"/>
          </w:tcPr>
          <w:p>
            <w:r/>
            <w:r>
              <w:rPr>
                <w:rFonts w:ascii="Times New Roman" w:hAnsi="Times New Roman"/>
                <w:b w:val="0"/>
                <w:i w:val="0"/>
                <w:sz w:val="18"/>
                <w:u w:val="none"/>
              </w:rPr>
              <w:t>97.37</w:t>
            </w:r>
          </w:p>
        </w:tc>
      </w:tr>
      <w:tr>
        <w:tc>
          <w:tcPr>
            <w:tcW w:type="dxa" w:w="1872"/>
          </w:tcPr>
          <w:p>
            <w:r/>
            <w:r>
              <w:rPr>
                <w:rFonts w:ascii="Times New Roman" w:hAnsi="Times New Roman"/>
                <w:b w:val="0"/>
                <w:i w:val="0"/>
                <w:sz w:val="18"/>
                <w:u w:val="none"/>
              </w:rPr>
              <w:t>policy_deg</w:t>
            </w:r>
          </w:p>
        </w:tc>
        <w:tc>
          <w:tcPr>
            <w:tcW w:type="dxa" w:w="1872"/>
          </w:tcPr>
          <w:p>
            <w:r/>
            <w:r>
              <w:rPr>
                <w:rFonts w:ascii="Times New Roman" w:hAnsi="Times New Roman"/>
                <w:b w:val="0"/>
                <w:i w:val="0"/>
                <w:sz w:val="18"/>
                <w:u w:val="none"/>
              </w:rPr>
              <w:t>MLP</w:t>
            </w:r>
          </w:p>
        </w:tc>
        <w:tc>
          <w:tcPr>
            <w:tcW w:type="dxa" w:w="1872"/>
          </w:tcPr>
          <w:p>
            <w:r/>
            <w:r>
              <w:rPr>
                <w:rFonts w:ascii="Times New Roman" w:hAnsi="Times New Roman"/>
                <w:b w:val="0"/>
                <w:i w:val="0"/>
                <w:sz w:val="18"/>
                <w:u w:val="none"/>
              </w:rPr>
              <w:t>0.443</w:t>
            </w:r>
          </w:p>
        </w:tc>
        <w:tc>
          <w:tcPr>
            <w:tcW w:type="dxa" w:w="1872"/>
          </w:tcPr>
          <w:p>
            <w:r/>
            <w:r>
              <w:rPr>
                <w:rFonts w:ascii="Times New Roman" w:hAnsi="Times New Roman"/>
                <w:b w:val="0"/>
                <w:i w:val="0"/>
                <w:sz w:val="18"/>
                <w:u w:val="none"/>
              </w:rPr>
              <w:t>0.805</w:t>
            </w:r>
          </w:p>
        </w:tc>
        <w:tc>
          <w:tcPr>
            <w:tcW w:type="dxa" w:w="1872"/>
          </w:tcPr>
          <w:p>
            <w:r/>
            <w:r>
              <w:rPr>
                <w:rFonts w:ascii="Times New Roman" w:hAnsi="Times New Roman"/>
                <w:b w:val="0"/>
                <w:i w:val="0"/>
                <w:sz w:val="18"/>
                <w:u w:val="none"/>
              </w:rPr>
              <w:t>319.07</w:t>
            </w:r>
          </w:p>
        </w:tc>
      </w:tr>
      <w:tr>
        <w:tc>
          <w:tcPr>
            <w:tcW w:type="dxa" w:w="1872"/>
          </w:tcPr>
          <w:p>
            <w:r/>
            <w:r>
              <w:rPr>
                <w:rFonts w:ascii="Times New Roman" w:hAnsi="Times New Roman"/>
                <w:b w:val="0"/>
                <w:i w:val="0"/>
                <w:sz w:val="18"/>
                <w:u w:val="none"/>
              </w:rPr>
              <w:t>policy_brady_deg</w:t>
            </w:r>
          </w:p>
        </w:tc>
        <w:tc>
          <w:tcPr>
            <w:tcW w:type="dxa" w:w="1872"/>
          </w:tcPr>
          <w:p>
            <w:r/>
            <w:r>
              <w:rPr>
                <w:rFonts w:ascii="Times New Roman" w:hAnsi="Times New Roman"/>
                <w:b w:val="0"/>
                <w:i w:val="0"/>
                <w:sz w:val="18"/>
                <w:u w:val="none"/>
              </w:rPr>
              <w:t>MLP</w:t>
            </w:r>
          </w:p>
        </w:tc>
        <w:tc>
          <w:tcPr>
            <w:tcW w:type="dxa" w:w="1872"/>
          </w:tcPr>
          <w:p>
            <w:r/>
            <w:r>
              <w:rPr>
                <w:rFonts w:ascii="Times New Roman" w:hAnsi="Times New Roman"/>
                <w:b w:val="0"/>
                <w:i w:val="0"/>
                <w:sz w:val="18"/>
                <w:u w:val="none"/>
              </w:rPr>
              <w:t>0.439</w:t>
            </w:r>
          </w:p>
        </w:tc>
        <w:tc>
          <w:tcPr>
            <w:tcW w:type="dxa" w:w="1872"/>
          </w:tcPr>
          <w:p>
            <w:r/>
            <w:r>
              <w:rPr>
                <w:rFonts w:ascii="Times New Roman" w:hAnsi="Times New Roman"/>
                <w:b w:val="0"/>
                <w:i w:val="0"/>
                <w:sz w:val="18"/>
                <w:u w:val="none"/>
              </w:rPr>
              <w:t>0.890</w:t>
            </w:r>
          </w:p>
        </w:tc>
        <w:tc>
          <w:tcPr>
            <w:tcW w:type="dxa" w:w="1872"/>
          </w:tcPr>
          <w:p>
            <w:r/>
            <w:r>
              <w:rPr>
                <w:rFonts w:ascii="Times New Roman" w:hAnsi="Times New Roman"/>
                <w:b w:val="0"/>
                <w:i w:val="0"/>
                <w:sz w:val="18"/>
                <w:u w:val="none"/>
              </w:rPr>
              <w:t>460.29</w:t>
            </w:r>
          </w:p>
        </w:tc>
      </w:tr>
      <w:tr>
        <w:tc>
          <w:tcPr>
            <w:tcW w:type="dxa" w:w="1872"/>
          </w:tcPr>
          <w:p>
            <w:r/>
            <w:r>
              <w:rPr>
                <w:rFonts w:ascii="Times New Roman" w:hAnsi="Times New Roman"/>
                <w:b w:val="0"/>
                <w:i w:val="0"/>
                <w:sz w:val="18"/>
                <w:u w:val="none"/>
              </w:rPr>
              <w:t>policy_deg_recurrent</w:t>
            </w:r>
          </w:p>
        </w:tc>
        <w:tc>
          <w:tcPr>
            <w:tcW w:type="dxa" w:w="1872"/>
          </w:tcPr>
          <w:p>
            <w:r/>
            <w:r>
              <w:rPr>
                <w:rFonts w:ascii="Times New Roman" w:hAnsi="Times New Roman"/>
                <w:b w:val="0"/>
                <w:i w:val="0"/>
                <w:sz w:val="18"/>
                <w:u w:val="none"/>
              </w:rPr>
              <w:t>RecPPO</w:t>
            </w:r>
          </w:p>
        </w:tc>
        <w:tc>
          <w:tcPr>
            <w:tcW w:type="dxa" w:w="1872"/>
          </w:tcPr>
          <w:p>
            <w:r/>
            <w:r>
              <w:rPr>
                <w:rFonts w:ascii="Times New Roman" w:hAnsi="Times New Roman"/>
                <w:b w:val="0"/>
                <w:i w:val="0"/>
                <w:sz w:val="18"/>
                <w:u w:val="none"/>
              </w:rPr>
              <w:t>0.364</w:t>
            </w:r>
          </w:p>
        </w:tc>
        <w:tc>
          <w:tcPr>
            <w:tcW w:type="dxa" w:w="1872"/>
          </w:tcPr>
          <w:p>
            <w:r/>
            <w:r>
              <w:rPr>
                <w:rFonts w:ascii="Times New Roman" w:hAnsi="Times New Roman"/>
                <w:b w:val="0"/>
                <w:i w:val="0"/>
                <w:sz w:val="18"/>
                <w:u w:val="none"/>
              </w:rPr>
              <w:t>0.789</w:t>
            </w:r>
          </w:p>
        </w:tc>
        <w:tc>
          <w:tcPr>
            <w:tcW w:type="dxa" w:w="1872"/>
          </w:tcPr>
          <w:p>
            <w:r/>
            <w:r>
              <w:rPr>
                <w:rFonts w:ascii="Times New Roman" w:hAnsi="Times New Roman"/>
                <w:b w:val="0"/>
                <w:i w:val="0"/>
                <w:sz w:val="18"/>
                <w:u w:val="none"/>
              </w:rPr>
              <w:t>182.12</w:t>
            </w:r>
          </w:p>
        </w:tc>
      </w:tr>
      <w:tr>
        <w:tc>
          <w:tcPr>
            <w:tcW w:type="dxa" w:w="1872"/>
          </w:tcPr>
          <w:p>
            <w:r/>
            <w:r>
              <w:rPr>
                <w:rFonts w:ascii="Times New Roman" w:hAnsi="Times New Roman"/>
                <w:b/>
                <w:i w:val="0"/>
                <w:sz w:val="18"/>
                <w:u w:val="none"/>
              </w:rPr>
              <w:t>policy_brady_deg_recurrent</w:t>
            </w:r>
          </w:p>
        </w:tc>
        <w:tc>
          <w:tcPr>
            <w:tcW w:type="dxa" w:w="1872"/>
          </w:tcPr>
          <w:p>
            <w:r/>
            <w:r>
              <w:rPr>
                <w:rFonts w:ascii="Times New Roman" w:hAnsi="Times New Roman"/>
                <w:b/>
                <w:i w:val="0"/>
                <w:sz w:val="18"/>
                <w:u w:val="none"/>
              </w:rPr>
              <w:t>RecPPO</w:t>
            </w:r>
          </w:p>
        </w:tc>
        <w:tc>
          <w:tcPr>
            <w:tcW w:type="dxa" w:w="1872"/>
          </w:tcPr>
          <w:p>
            <w:r/>
            <w:r>
              <w:rPr>
                <w:rFonts w:ascii="Times New Roman" w:hAnsi="Times New Roman"/>
                <w:b/>
                <w:i w:val="0"/>
                <w:sz w:val="18"/>
                <w:u w:val="none"/>
              </w:rPr>
              <w:t>0.494</w:t>
            </w:r>
          </w:p>
        </w:tc>
        <w:tc>
          <w:tcPr>
            <w:tcW w:type="dxa" w:w="1872"/>
          </w:tcPr>
          <w:p>
            <w:r/>
            <w:r>
              <w:rPr>
                <w:rFonts w:ascii="Times New Roman" w:hAnsi="Times New Roman"/>
                <w:b/>
                <w:i w:val="0"/>
                <w:sz w:val="18"/>
                <w:u w:val="none"/>
              </w:rPr>
              <w:t>0.888</w:t>
            </w:r>
          </w:p>
        </w:tc>
        <w:tc>
          <w:tcPr>
            <w:tcW w:type="dxa" w:w="1872"/>
          </w:tcPr>
          <w:p>
            <w:r/>
            <w:r>
              <w:rPr>
                <w:rFonts w:ascii="Times New Roman" w:hAnsi="Times New Roman"/>
                <w:b/>
                <w:i w:val="0"/>
                <w:sz w:val="18"/>
                <w:u w:val="none"/>
              </w:rPr>
              <w:t>499.73</w:t>
            </w:r>
          </w:p>
        </w:tc>
      </w:tr>
      <w:tr>
        <w:tc>
          <w:tcPr>
            <w:tcW w:type="dxa" w:w="1872"/>
          </w:tcPr>
          <w:p>
            <w:r/>
            <w:r>
              <w:rPr>
                <w:rFonts w:ascii="Times New Roman" w:hAnsi="Times New Roman"/>
                <w:b w:val="0"/>
                <w:i w:val="0"/>
                <w:sz w:val="18"/>
                <w:u w:val="none"/>
              </w:rPr>
              <w:t>policy_noisy_recurrent</w:t>
            </w:r>
          </w:p>
        </w:tc>
        <w:tc>
          <w:tcPr>
            <w:tcW w:type="dxa" w:w="1872"/>
          </w:tcPr>
          <w:p>
            <w:r/>
            <w:r>
              <w:rPr>
                <w:rFonts w:ascii="Times New Roman" w:hAnsi="Times New Roman"/>
                <w:b w:val="0"/>
                <w:i w:val="0"/>
                <w:sz w:val="18"/>
                <w:u w:val="none"/>
              </w:rPr>
              <w:t>RecPPO</w:t>
            </w:r>
          </w:p>
        </w:tc>
        <w:tc>
          <w:tcPr>
            <w:tcW w:type="dxa" w:w="1872"/>
          </w:tcPr>
          <w:p>
            <w:r/>
            <w:r>
              <w:rPr>
                <w:rFonts w:ascii="Times New Roman" w:hAnsi="Times New Roman"/>
                <w:b w:val="0"/>
                <w:i w:val="0"/>
                <w:sz w:val="18"/>
                <w:u w:val="none"/>
              </w:rPr>
              <w:t>0.475</w:t>
            </w:r>
          </w:p>
        </w:tc>
        <w:tc>
          <w:tcPr>
            <w:tcW w:type="dxa" w:w="1872"/>
          </w:tcPr>
          <w:p>
            <w:r/>
            <w:r>
              <w:rPr>
                <w:rFonts w:ascii="Times New Roman" w:hAnsi="Times New Roman"/>
                <w:b w:val="0"/>
                <w:i w:val="0"/>
                <w:sz w:val="18"/>
                <w:u w:val="none"/>
              </w:rPr>
              <w:t>0.892</w:t>
            </w:r>
          </w:p>
        </w:tc>
        <w:tc>
          <w:tcPr>
            <w:tcW w:type="dxa" w:w="1872"/>
          </w:tcPr>
          <w:p>
            <w:r/>
            <w:r>
              <w:rPr>
                <w:rFonts w:ascii="Times New Roman" w:hAnsi="Times New Roman"/>
                <w:b w:val="0"/>
                <w:i w:val="0"/>
                <w:sz w:val="18"/>
                <w:u w:val="none"/>
              </w:rPr>
              <w:t>488.67</w:t>
            </w:r>
          </w:p>
        </w:tc>
      </w:tr>
    </w:tbl>
    <w:p>
      <w:pPr>
        <w:spacing w:before="0" w:after="80" w:line="240" w:lineRule="exact"/>
        <w:jc w:val="both"/>
      </w:pPr>
      <w:r>
        <w:rPr>
          <w:rFonts w:ascii="Times New Roman" w:hAnsi="Times New Roman"/>
          <w:b w:val="0"/>
          <w:i w:val="0"/>
          <w:sz w:val="20"/>
          <w:u w:val="none"/>
        </w:rPr>
        <w:t>The RecurrentPPO policy trained on combined symptoms achieves the highest trajectory match and reward. The degeneration-only RecurrentPPO performs worst of all exoskeleton policies on the full PD environment, confirming that temporal reasoning amplifies the consequences of training environment mismatch.</w:t>
      </w:r>
    </w:p>
    <w:p>
      <w:pPr>
        <w:spacing w:before="200" w:after="80" w:line="280" w:lineRule="exact"/>
        <w:jc w:val="left"/>
      </w:pPr>
      <w:r>
        <w:rPr>
          <w:rFonts w:ascii="Times New Roman" w:hAnsi="Times New Roman"/>
          <w:b/>
          <w:i w:val="0"/>
          <w:sz w:val="24"/>
          <w:u w:val="none"/>
        </w:rPr>
        <w:t>6  DISCUSSION</w:t>
      </w:r>
    </w:p>
    <w:p>
      <w:pPr>
        <w:spacing w:before="0" w:after="80" w:line="240" w:lineRule="exact"/>
        <w:jc w:val="both"/>
      </w:pPr>
      <w:r>
        <w:rPr>
          <w:rFonts w:ascii="Times New Roman" w:hAnsi="Times New Roman"/>
          <w:b/>
          <w:i w:val="0"/>
          <w:sz w:val="20"/>
          <w:u w:val="none"/>
        </w:rPr>
        <w:t xml:space="preserve">Interpreting results across severity.  </w:t>
      </w:r>
      <w:r>
        <w:rPr>
          <w:rFonts w:ascii="Times New Roman" w:hAnsi="Times New Roman"/>
          <w:b w:val="0"/>
          <w:i w:val="0"/>
          <w:sz w:val="20"/>
          <w:u w:val="none"/>
        </w:rPr>
        <w:t>The RecurrentPPO policy achieved r = 0.494 and 88.8% goal rate across stratified episodes covering mild (Q1, r = 0.654) to severe (Q4, r = 0.384) presentations. The monotonic degradation with severity confirms the policy is being tested across the full clinical range. For a progressive disease, cross-severity generalisation without recalibration is more clinically meaningful than peak accuracy on a single calibrated patient. This matters because accessibility and adaptability—not sensor precision—are the documented barriers to adoption: over 90% of PD patients express interest in wearable technology, yet only 8% have used a medical device [Hirczy et al., 2024; Reicherzer et al., 2024].</w:t>
      </w:r>
    </w:p>
    <w:p>
      <w:pPr>
        <w:spacing w:before="0" w:after="80" w:line="240" w:lineRule="exact"/>
        <w:jc w:val="both"/>
      </w:pPr>
      <w:r>
        <w:rPr>
          <w:rFonts w:ascii="Times New Roman" w:hAnsi="Times New Roman"/>
          <w:b/>
          <w:i w:val="0"/>
          <w:sz w:val="20"/>
          <w:u w:val="none"/>
        </w:rPr>
        <w:t xml:space="preserve">Environment design as the mechanism of generalisability.  </w:t>
      </w:r>
      <w:r>
        <w:rPr>
          <w:rFonts w:ascii="Times New Roman" w:hAnsi="Times New Roman"/>
          <w:b w:val="0"/>
          <w:i w:val="0"/>
          <w:sz w:val="20"/>
          <w:u w:val="none"/>
        </w:rPr>
        <w:t>The central result is what the ablation reveals: the degeneration-only and combined-trained RecurrentPPO are architecturally identical, differing only in their training environment. At Q4 severe, the degeneration-only policy achieves r = 0.211 and reward 9.26, while the combined policy achieves r = 0.384 and reward 382.30. This isolates the training environment as the critical variable. The same three-phase framework is disease-agnostic: replacing the bradykinesia and degeneration equations with pathological models for ALS, muscular dystrophy, or post-stroke spasticity would apply it to an entirely different clinical population.</w:t>
      </w:r>
    </w:p>
    <w:p>
      <w:pPr>
        <w:spacing w:before="160" w:after="60" w:line="240" w:lineRule="exact"/>
        <w:jc w:val="left"/>
      </w:pPr>
      <w:r>
        <w:rPr>
          <w:rFonts w:ascii="Times New Roman" w:hAnsi="Times New Roman"/>
          <w:b/>
          <w:i w:val="0"/>
          <w:sz w:val="20"/>
          <w:u w:val="none"/>
        </w:rPr>
        <w:t>6.1  Limitations</w:t>
      </w:r>
    </w:p>
    <w:p>
      <w:pPr>
        <w:spacing w:before="0" w:after="80" w:line="240" w:lineRule="exact"/>
        <w:jc w:val="both"/>
      </w:pPr>
      <w:r>
        <w:rPr>
          <w:rFonts w:ascii="Times New Roman" w:hAnsi="Times New Roman"/>
          <w:b w:val="0"/>
          <w:i w:val="0"/>
          <w:sz w:val="20"/>
          <w:u w:val="none"/>
        </w:rPr>
        <w:t>This evaluation is entirely simulation-based—no real PD patients were involved and no physical exoskeleton was constructed. Sim-to-real transfer for musculoskeletal controllers remains an open challenge [Luo et al., 2025]; potential gaps in muscle dynamics, sensor noise profiles, and body variability cannot be fully characterised without clinical validation. However, MyoSuite was developed with validated Hill-model dynamics and in collaboration with musculoskeletal researchers, reducing but not eliminating this gap [Caggiano et al., 2022]. The system addresses only the elbow joint, while PD can affect gait, posture, handwriting, and full-body coordination; the elbow remains the most underrepresented joint in PD-specific research [Capato et al., 2023]. Finally, while the torque ceiling proved sufficient across the tested severity range, late-stage patients at Q4 may benefit from additional torque capacity or extended training.</w:t>
      </w:r>
    </w:p>
    <w:p>
      <w:pPr>
        <w:spacing w:before="160" w:after="60" w:line="240" w:lineRule="exact"/>
        <w:jc w:val="left"/>
      </w:pPr>
      <w:r>
        <w:rPr>
          <w:rFonts w:ascii="Times New Roman" w:hAnsi="Times New Roman"/>
          <w:b/>
          <w:i w:val="0"/>
          <w:sz w:val="20"/>
          <w:u w:val="none"/>
        </w:rPr>
        <w:t>6.2  Future Work</w:t>
      </w:r>
    </w:p>
    <w:p>
      <w:pPr>
        <w:spacing w:before="0" w:after="80" w:line="240" w:lineRule="exact"/>
        <w:jc w:val="both"/>
      </w:pPr>
      <w:r>
        <w:rPr>
          <w:rFonts w:ascii="Times New Roman" w:hAnsi="Times New Roman"/>
          <w:b w:val="0"/>
          <w:i w:val="0"/>
          <w:sz w:val="20"/>
          <w:u w:val="none"/>
        </w:rPr>
        <w:t>The immediate next step is physical exoskeleton construction and clinical validation with real PD patients, using the cloud pipeline confirmed viable at 1.930 ms mean inference latency. The three-phase framework can be extended to hip, knee, and ankle joints for PD gait impairment, or adapted to other neurological conditions. RLHF-based fine-tuning using patient preference feedback on the timing and feel of assistance would allow post-deployment personalisation without recalibration [Endrei et al., 2025]. Finally, the monotonic relationship between severity and the policy’s reward output—from 643.35 at Q1 to 382.30 at Q4—suggests that exoskeleton torque demand could serve as a continuous proxy for PD severity, enabling passive longitudinal monitoring of disease progression through daily device use without formal UPDRS examination.</w:t>
      </w:r>
    </w:p>
    <w:p>
      <w:pPr>
        <w:spacing w:before="200" w:after="80" w:line="280" w:lineRule="exact"/>
        <w:jc w:val="left"/>
      </w:pPr>
      <w:r>
        <w:rPr>
          <w:rFonts w:ascii="Times New Roman" w:hAnsi="Times New Roman"/>
          <w:b/>
          <w:i w:val="0"/>
          <w:sz w:val="24"/>
          <w:u w:val="none"/>
        </w:rPr>
        <w:t>7  CONCLUSION</w:t>
      </w:r>
    </w:p>
    <w:p>
      <w:pPr>
        <w:spacing w:before="0" w:after="80" w:line="240" w:lineRule="exact"/>
        <w:jc w:val="both"/>
      </w:pPr>
      <w:r>
        <w:rPr>
          <w:rFonts w:ascii="Times New Roman" w:hAnsi="Times New Roman"/>
          <w:b w:val="0"/>
          <w:i w:val="0"/>
          <w:sz w:val="20"/>
          <w:u w:val="none"/>
        </w:rPr>
        <w:t>This paper asked whether deep reinforcement learning can produce an autonomous elbow exoskeleton controller that provides real-time, adaptive mitigation of Parkinson’s motor impairments across diverse patients. Three core outcomes characterise our answer. The RecurrentPPO policy trained on combined PD symptoms achieved r = 0.494 and 88.8% goal achievement across 4,000 stratified episodes spanning the full PD severity spectrum, without recalibration between patients. Inference latency was 1.930 ms mean across 1,000 timed forward passes—well below the control period of typical upper-limb exoskeleton platforms—confirming viability for real-time deployment on lightweight hardware. Most critically, the ablation study isolates the training environment as the mechanism of generalisability: a degeneration-only RecurrentPPO—representative of the current state-of-the-art approach of training exoskeletons on muscle weakness alone—collapsed to r = 0.211 and reward 9.26 at the most severe patients, compared to r = 0.384 and 382.30 for the combined PD-trained policy at the same severity. This collapse, produced by architecturally identical policies, shows that what the controller is trained on matters more than how it is built.</w:t>
      </w:r>
    </w:p>
    <w:p>
      <w:pPr>
        <w:spacing w:before="0" w:after="80" w:line="240" w:lineRule="exact"/>
        <w:jc w:val="both"/>
      </w:pPr>
      <w:r>
        <w:rPr>
          <w:rFonts w:ascii="Times New Roman" w:hAnsi="Times New Roman"/>
          <w:b w:val="0"/>
          <w:i w:val="0"/>
          <w:sz w:val="20"/>
          <w:u w:val="none"/>
        </w:rPr>
        <w:t>ReGainX demonstrates that multi-agent RL training environments tailored to the full complexity of disease pathology can produce exoskeleton policies that generalise across patients without per-session calibration. The novel three-phase framework—healthy controller training, combined PD impairment simulation, and frozen-patient exoskeleton training—is disease-agnostic and computationally tractable on consumer hardware, establishing a feasible and scalable blueprint for future ML-based assistive devices in progressive, complex neurological disease.</w:t>
      </w:r>
    </w:p>
    <w:p>
      <w:pPr>
        <w:spacing w:before="200" w:after="80" w:line="280" w:lineRule="exact"/>
        <w:jc w:val="left"/>
      </w:pPr>
      <w:r>
        <w:rPr>
          <w:rFonts w:ascii="Times New Roman" w:hAnsi="Times New Roman"/>
          <w:b/>
          <w:i w:val="0"/>
          <w:sz w:val="24"/>
          <w:u w:val="none"/>
        </w:rPr>
        <w:t>REFERENCES</w:t>
      </w:r>
    </w:p>
    <w:p>
      <w:pPr>
        <w:spacing w:before="0" w:after="40" w:line="220" w:lineRule="exact"/>
        <w:ind w:left="360" w:hanging="360"/>
        <w:jc w:val="both"/>
      </w:pPr>
      <w:r>
        <w:rPr>
          <w:rFonts w:ascii="Times New Roman" w:hAnsi="Times New Roman"/>
          <w:b w:val="0"/>
          <w:i w:val="0"/>
          <w:sz w:val="18"/>
          <w:u w:val="none"/>
        </w:rPr>
        <w:t>Agostino, R. et al. (2015). Integrated robotics platform: 41% slower speed, 29% shorter displacement off-medication. PMC 6815040.</w:t>
      </w:r>
    </w:p>
    <w:p>
      <w:pPr>
        <w:spacing w:before="0" w:after="40" w:line="220" w:lineRule="exact"/>
        <w:ind w:left="360" w:hanging="360"/>
        <w:jc w:val="both"/>
      </w:pPr>
      <w:r>
        <w:rPr>
          <w:rFonts w:ascii="Times New Roman" w:hAnsi="Times New Roman"/>
          <w:b w:val="0"/>
          <w:i w:val="0"/>
          <w:sz w:val="18"/>
          <w:u w:val="none"/>
        </w:rPr>
        <w:t>Akiba, T., Sano, S., Yanase, T., Ohta, T., and Koyama, M. (2019). Optuna: A next-generation hyperparameter optimization framework. Proceedings of the 25th ACM SIGKDD.</w:t>
      </w:r>
    </w:p>
    <w:p>
      <w:pPr>
        <w:spacing w:before="0" w:after="40" w:line="220" w:lineRule="exact"/>
        <w:ind w:left="360" w:hanging="360"/>
        <w:jc w:val="both"/>
      </w:pPr>
      <w:r>
        <w:rPr>
          <w:rFonts w:ascii="Times New Roman" w:hAnsi="Times New Roman"/>
          <w:b w:val="0"/>
          <w:i w:val="0"/>
          <w:sz w:val="18"/>
          <w:u w:val="none"/>
        </w:rPr>
        <w:t>Caggiano, V., Wang, H., Durandau, G., Sartori, M., and Kumar, V. (2022). MyoSuite: A contact-rich simulation suite for musculoskeletal motor control. Proceedings of Machine Learning Research.</w:t>
      </w:r>
    </w:p>
    <w:p>
      <w:pPr>
        <w:spacing w:before="0" w:after="40" w:line="220" w:lineRule="exact"/>
        <w:ind w:left="360" w:hanging="360"/>
        <w:jc w:val="both"/>
      </w:pPr>
      <w:r>
        <w:rPr>
          <w:rFonts w:ascii="Times New Roman" w:hAnsi="Times New Roman"/>
          <w:b w:val="0"/>
          <w:i w:val="0"/>
          <w:sz w:val="18"/>
          <w:u w:val="none"/>
        </w:rPr>
        <w:t>Caligiuri, M.P. et al. (2018). Quantitative assessment of upper limb functional impairments in PD. Gait &amp; Posture, 60, 80–85.</w:t>
      </w:r>
    </w:p>
    <w:p>
      <w:pPr>
        <w:spacing w:before="0" w:after="40" w:line="220" w:lineRule="exact"/>
        <w:ind w:left="360" w:hanging="360"/>
        <w:jc w:val="both"/>
      </w:pPr>
      <w:r>
        <w:rPr>
          <w:rFonts w:ascii="Times New Roman" w:hAnsi="Times New Roman"/>
          <w:b w:val="0"/>
          <w:i w:val="0"/>
          <w:sz w:val="18"/>
          <w:u w:val="none"/>
        </w:rPr>
        <w:t>Capato, T.T.C. et al. (2023). Clinical assessment of upper limb impairments and functional capacity in Parkinson’s disease: a systematic review. Arquivos de Neuro-Psiquiatria.</w:t>
      </w:r>
    </w:p>
    <w:p>
      <w:pPr>
        <w:spacing w:before="0" w:after="40" w:line="220" w:lineRule="exact"/>
        <w:ind w:left="360" w:hanging="360"/>
        <w:jc w:val="both"/>
      </w:pPr>
      <w:r>
        <w:rPr>
          <w:rFonts w:ascii="Times New Roman" w:hAnsi="Times New Roman"/>
          <w:b w:val="0"/>
          <w:i w:val="0"/>
          <w:sz w:val="18"/>
          <w:u w:val="none"/>
        </w:rPr>
        <w:t>Chaudhuri, K.R. et al. (2025). Understanding Parkinson’s disease: current trends. Frontiers in Aging Neuroscience.</w:t>
      </w:r>
    </w:p>
    <w:p>
      <w:pPr>
        <w:spacing w:before="0" w:after="40" w:line="220" w:lineRule="exact"/>
        <w:ind w:left="360" w:hanging="360"/>
        <w:jc w:val="both"/>
      </w:pPr>
      <w:r>
        <w:rPr>
          <w:rFonts w:ascii="Times New Roman" w:hAnsi="Times New Roman"/>
          <w:b w:val="0"/>
          <w:i w:val="0"/>
          <w:sz w:val="18"/>
          <w:u w:val="none"/>
        </w:rPr>
        <w:t>Cools, A.M. et al. (2017). Normative values and affecting factors for the elbow range of motion. Sports Medicine.</w:t>
      </w:r>
    </w:p>
    <w:p>
      <w:pPr>
        <w:spacing w:before="0" w:after="40" w:line="220" w:lineRule="exact"/>
        <w:ind w:left="360" w:hanging="360"/>
        <w:jc w:val="both"/>
      </w:pPr>
      <w:r>
        <w:rPr>
          <w:rFonts w:ascii="Times New Roman" w:hAnsi="Times New Roman"/>
          <w:b w:val="0"/>
          <w:i w:val="0"/>
          <w:sz w:val="18"/>
          <w:u w:val="none"/>
        </w:rPr>
        <w:t>Dalla Gasperina, S. et al. (2021). Review on patient-cooperative control strategies for upper-limb rehabilitation exoskeletons. Frontiers in Robotics and AI.</w:t>
      </w:r>
    </w:p>
    <w:p>
      <w:pPr>
        <w:spacing w:before="0" w:after="40" w:line="220" w:lineRule="exact"/>
        <w:ind w:left="360" w:hanging="360"/>
        <w:jc w:val="both"/>
      </w:pPr>
      <w:r>
        <w:rPr>
          <w:rFonts w:ascii="Times New Roman" w:hAnsi="Times New Roman"/>
          <w:b w:val="0"/>
          <w:i w:val="0"/>
          <w:sz w:val="18"/>
          <w:u w:val="none"/>
        </w:rPr>
        <w:t>Durandau, G. et al. (2019). Neuromusculoskeletal controller for exoskeleton assistance. Referenced via MyoSuite documentation.</w:t>
      </w:r>
    </w:p>
    <w:p>
      <w:pPr>
        <w:spacing w:before="0" w:after="40" w:line="220" w:lineRule="exact"/>
        <w:ind w:left="360" w:hanging="360"/>
        <w:jc w:val="both"/>
      </w:pPr>
      <w:r>
        <w:rPr>
          <w:rFonts w:ascii="Times New Roman" w:hAnsi="Times New Roman"/>
          <w:b w:val="0"/>
          <w:i w:val="0"/>
          <w:sz w:val="18"/>
          <w:u w:val="none"/>
        </w:rPr>
        <w:t>Endrei, T. et al. (2025). Learning to suppress tremors: a DRL-enabled soft exoskeleton for Parkinson’s patients. Frontiers in Robotics and AI.</w:t>
      </w:r>
    </w:p>
    <w:p>
      <w:pPr>
        <w:spacing w:before="0" w:after="40" w:line="220" w:lineRule="exact"/>
        <w:ind w:left="360" w:hanging="360"/>
        <w:jc w:val="both"/>
      </w:pPr>
      <w:r>
        <w:rPr>
          <w:rFonts w:ascii="Times New Roman" w:hAnsi="Times New Roman"/>
          <w:b w:val="0"/>
          <w:i w:val="0"/>
          <w:sz w:val="18"/>
          <w:u w:val="none"/>
        </w:rPr>
        <w:t>Fortunati, M. et al. (2024). Lower-limb exoskeletons for gait training in Parkinson’s disease: state of the art. Healthcare.</w:t>
      </w:r>
    </w:p>
    <w:p>
      <w:pPr>
        <w:spacing w:before="0" w:after="40" w:line="220" w:lineRule="exact"/>
        <w:ind w:left="360" w:hanging="360"/>
        <w:jc w:val="both"/>
      </w:pPr>
      <w:r>
        <w:rPr>
          <w:rFonts w:ascii="Times New Roman" w:hAnsi="Times New Roman"/>
          <w:b w:val="0"/>
          <w:i w:val="0"/>
          <w:sz w:val="18"/>
          <w:u w:val="none"/>
        </w:rPr>
        <w:t>Hart, N. et al. (2023). Prevalence of sarcopenia in Parkinson’s disease: systematic review. Neurological Sciences.</w:t>
      </w:r>
    </w:p>
    <w:p>
      <w:pPr>
        <w:spacing w:before="0" w:after="40" w:line="220" w:lineRule="exact"/>
        <w:ind w:left="360" w:hanging="360"/>
        <w:jc w:val="both"/>
      </w:pPr>
      <w:r>
        <w:rPr>
          <w:rFonts w:ascii="Times New Roman" w:hAnsi="Times New Roman"/>
          <w:b w:val="0"/>
          <w:i w:val="0"/>
          <w:sz w:val="18"/>
          <w:u w:val="none"/>
        </w:rPr>
        <w:t>Hirczy, S. et al. (2024). The current state of wearable device use in Parkinson’s disease: a survey.</w:t>
      </w:r>
    </w:p>
    <w:p>
      <w:pPr>
        <w:spacing w:before="0" w:after="40" w:line="220" w:lineRule="exact"/>
        <w:ind w:left="360" w:hanging="360"/>
        <w:jc w:val="both"/>
      </w:pPr>
      <w:r>
        <w:rPr>
          <w:rFonts w:ascii="Times New Roman" w:hAnsi="Times New Roman"/>
          <w:b w:val="0"/>
          <w:i w:val="0"/>
          <w:sz w:val="18"/>
          <w:u w:val="none"/>
        </w:rPr>
        <w:t>Ingram, L.A. et al. (2021). Quantifying upper limb motor impairment in people with Parkinson’s disease. PeerJ.</w:t>
      </w:r>
    </w:p>
    <w:p>
      <w:pPr>
        <w:spacing w:before="0" w:after="40" w:line="220" w:lineRule="exact"/>
        <w:ind w:left="360" w:hanging="360"/>
        <w:jc w:val="both"/>
      </w:pPr>
      <w:r>
        <w:rPr>
          <w:rFonts w:ascii="Times New Roman" w:hAnsi="Times New Roman"/>
          <w:b w:val="0"/>
          <w:i w:val="0"/>
          <w:sz w:val="18"/>
          <w:u w:val="none"/>
        </w:rPr>
        <w:t>Luo, S. et al. (2023). Robust walking control of a lower limb rehabilitation exoskeleton via DRL. Journal of NeuroEngineering and Rehabilitation.</w:t>
      </w:r>
    </w:p>
    <w:p>
      <w:pPr>
        <w:spacing w:before="0" w:after="40" w:line="220" w:lineRule="exact"/>
        <w:ind w:left="360" w:hanging="360"/>
        <w:jc w:val="both"/>
      </w:pPr>
      <w:r>
        <w:rPr>
          <w:rFonts w:ascii="Times New Roman" w:hAnsi="Times New Roman"/>
          <w:b w:val="0"/>
          <w:i w:val="0"/>
          <w:sz w:val="18"/>
          <w:u w:val="none"/>
        </w:rPr>
        <w:t>Luo, S. et al. (2024). Experiment-free exoskeleton assistance via learning in simulation. Nature.</w:t>
      </w:r>
    </w:p>
    <w:p>
      <w:pPr>
        <w:spacing w:before="0" w:after="40" w:line="220" w:lineRule="exact"/>
        <w:ind w:left="360" w:hanging="360"/>
        <w:jc w:val="both"/>
      </w:pPr>
      <w:r>
        <w:rPr>
          <w:rFonts w:ascii="Times New Roman" w:hAnsi="Times New Roman"/>
          <w:b w:val="0"/>
          <w:i w:val="0"/>
          <w:sz w:val="18"/>
          <w:u w:val="none"/>
        </w:rPr>
        <w:t>Luo, S. et al. (2025). Robust neural network controller for a lower limb exoskeleton with minimal sensors. Journal of NeuroEngineering and Rehabilitation.</w:t>
      </w:r>
    </w:p>
    <w:p>
      <w:pPr>
        <w:spacing w:before="0" w:after="40" w:line="220" w:lineRule="exact"/>
        <w:ind w:left="360" w:hanging="360"/>
        <w:jc w:val="both"/>
      </w:pPr>
      <w:r>
        <w:rPr>
          <w:rFonts w:ascii="Times New Roman" w:hAnsi="Times New Roman"/>
          <w:b w:val="0"/>
          <w:i w:val="0"/>
          <w:sz w:val="18"/>
          <w:u w:val="none"/>
        </w:rPr>
        <w:t>Morrey, B.F. et al. (1981). Functional range of motion of the elbow. Journal of Bone and Joint Surgery.</w:t>
      </w:r>
    </w:p>
    <w:p>
      <w:pPr>
        <w:spacing w:before="0" w:after="40" w:line="220" w:lineRule="exact"/>
        <w:ind w:left="360" w:hanging="360"/>
        <w:jc w:val="both"/>
      </w:pPr>
      <w:r>
        <w:rPr>
          <w:rFonts w:ascii="Times New Roman" w:hAnsi="Times New Roman"/>
          <w:b w:val="0"/>
          <w:i w:val="0"/>
          <w:sz w:val="18"/>
          <w:u w:val="none"/>
        </w:rPr>
        <w:t>Parkinson’s Foundation (2026). $82.2 billion economic burden.</w:t>
      </w:r>
    </w:p>
    <w:p>
      <w:pPr>
        <w:spacing w:before="0" w:after="40" w:line="220" w:lineRule="exact"/>
        <w:ind w:left="360" w:hanging="360"/>
        <w:jc w:val="both"/>
      </w:pPr>
      <w:r>
        <w:rPr>
          <w:rFonts w:ascii="Times New Roman" w:hAnsi="Times New Roman"/>
          <w:b w:val="0"/>
          <w:i w:val="0"/>
          <w:sz w:val="18"/>
          <w:u w:val="none"/>
        </w:rPr>
        <w:t>PMC (2021). An ultra-low power surface EMG sensor for wearable applications.</w:t>
      </w:r>
    </w:p>
    <w:p>
      <w:pPr>
        <w:spacing w:before="0" w:after="40" w:line="220" w:lineRule="exact"/>
        <w:ind w:left="360" w:hanging="360"/>
        <w:jc w:val="both"/>
      </w:pPr>
      <w:r>
        <w:rPr>
          <w:rFonts w:ascii="Times New Roman" w:hAnsi="Times New Roman"/>
          <w:b w:val="0"/>
          <w:i w:val="0"/>
          <w:sz w:val="18"/>
          <w:u w:val="none"/>
        </w:rPr>
        <w:t>PMC (2022). Myoelectric control systems for upper limb wearable robotic exoskeletons. Sensors.</w:t>
      </w:r>
    </w:p>
    <w:p>
      <w:pPr>
        <w:spacing w:before="0" w:after="40" w:line="220" w:lineRule="exact"/>
        <w:ind w:left="360" w:hanging="360"/>
        <w:jc w:val="both"/>
      </w:pPr>
      <w:r>
        <w:rPr>
          <w:rFonts w:ascii="Times New Roman" w:hAnsi="Times New Roman"/>
          <w:b w:val="0"/>
          <w:i w:val="0"/>
          <w:sz w:val="18"/>
          <w:u w:val="none"/>
        </w:rPr>
        <w:t>PMC (2025a). LSTM-enabled EMG-controlled upper arm exoskeleton.</w:t>
      </w:r>
    </w:p>
    <w:p>
      <w:pPr>
        <w:spacing w:before="0" w:after="40" w:line="220" w:lineRule="exact"/>
        <w:ind w:left="360" w:hanging="360"/>
        <w:jc w:val="both"/>
      </w:pPr>
      <w:r>
        <w:rPr>
          <w:rFonts w:ascii="Times New Roman" w:hAnsi="Times New Roman"/>
          <w:b w:val="0"/>
          <w:i w:val="0"/>
          <w:sz w:val="18"/>
          <w:u w:val="none"/>
        </w:rPr>
        <w:t>Carnevale, A. et al. (2025b). Portable exoskeletons for upper limb rehabilitation: a systematic review.</w:t>
      </w:r>
    </w:p>
    <w:p>
      <w:pPr>
        <w:spacing w:before="0" w:after="40" w:line="220" w:lineRule="exact"/>
        <w:ind w:left="360" w:hanging="360"/>
        <w:jc w:val="both"/>
      </w:pPr>
      <w:r>
        <w:rPr>
          <w:rFonts w:ascii="Times New Roman" w:hAnsi="Times New Roman"/>
          <w:b w:val="0"/>
          <w:i w:val="0"/>
          <w:sz w:val="18"/>
          <w:u w:val="none"/>
        </w:rPr>
        <w:t>Ponsoni, A. et al. (2023). Prevalence of sarcopenia in PD: meta-analysis.</w:t>
      </w:r>
    </w:p>
    <w:p>
      <w:pPr>
        <w:spacing w:before="0" w:after="40" w:line="220" w:lineRule="exact"/>
        <w:ind w:left="360" w:hanging="360"/>
        <w:jc w:val="both"/>
      </w:pPr>
      <w:r>
        <w:rPr>
          <w:rFonts w:ascii="Times New Roman" w:hAnsi="Times New Roman"/>
          <w:b w:val="0"/>
          <w:i w:val="0"/>
          <w:sz w:val="18"/>
          <w:u w:val="none"/>
        </w:rPr>
        <w:t>Raethjen, J. et al. (2018). Quantitative analysis of bradykinesia and rigidity in PD.</w:t>
      </w:r>
    </w:p>
    <w:p>
      <w:pPr>
        <w:spacing w:before="0" w:after="40" w:line="220" w:lineRule="exact"/>
        <w:ind w:left="360" w:hanging="360"/>
        <w:jc w:val="both"/>
      </w:pPr>
      <w:r>
        <w:rPr>
          <w:rFonts w:ascii="Times New Roman" w:hAnsi="Times New Roman"/>
          <w:b w:val="0"/>
          <w:i w:val="0"/>
          <w:sz w:val="18"/>
          <w:u w:val="none"/>
        </w:rPr>
        <w:t>Raffin, A. et al. (2021). Stable-Baselines3: Reliable reinforcement learning implementations. JMLR.</w:t>
      </w:r>
    </w:p>
    <w:p>
      <w:pPr>
        <w:spacing w:before="0" w:after="40" w:line="220" w:lineRule="exact"/>
        <w:ind w:left="360" w:hanging="360"/>
        <w:jc w:val="both"/>
      </w:pPr>
      <w:r>
        <w:rPr>
          <w:rFonts w:ascii="Times New Roman" w:hAnsi="Times New Roman"/>
          <w:b w:val="0"/>
          <w:i w:val="0"/>
          <w:sz w:val="18"/>
          <w:u w:val="none"/>
        </w:rPr>
        <w:t>Raffin, A. and Kanervisto, A. (2023). SB3-Contrib: Experimental RL code for Stable Baselines3.</w:t>
      </w:r>
    </w:p>
    <w:p>
      <w:pPr>
        <w:spacing w:before="0" w:after="40" w:line="220" w:lineRule="exact"/>
        <w:ind w:left="360" w:hanging="360"/>
        <w:jc w:val="both"/>
      </w:pPr>
      <w:r>
        <w:rPr>
          <w:rFonts w:ascii="Times New Roman" w:hAnsi="Times New Roman"/>
          <w:b w:val="0"/>
          <w:i w:val="0"/>
          <w:sz w:val="18"/>
          <w:u w:val="none"/>
        </w:rPr>
        <w:t>Ramesh, V. and Bilal, E. (2022). Detecting motor symptom fluctuations in Parkinson’s disease with generative adversarial networks. npj Digital Medicine.</w:t>
      </w:r>
    </w:p>
    <w:p>
      <w:pPr>
        <w:spacing w:before="0" w:after="40" w:line="220" w:lineRule="exact"/>
        <w:ind w:left="360" w:hanging="360"/>
        <w:jc w:val="both"/>
      </w:pPr>
      <w:r>
        <w:rPr>
          <w:rFonts w:ascii="Times New Roman" w:hAnsi="Times New Roman"/>
          <w:b w:val="0"/>
          <w:i w:val="0"/>
          <w:sz w:val="18"/>
          <w:u w:val="none"/>
        </w:rPr>
        <w:t>Reicherzer, L. et al. (2024). Barriers and facilitators to the use of wearable robots as assistive devices.</w:t>
      </w:r>
    </w:p>
    <w:p>
      <w:pPr>
        <w:spacing w:before="0" w:after="40" w:line="220" w:lineRule="exact"/>
        <w:ind w:left="360" w:hanging="360"/>
        <w:jc w:val="both"/>
      </w:pPr>
      <w:r>
        <w:rPr>
          <w:rFonts w:ascii="Times New Roman" w:hAnsi="Times New Roman"/>
          <w:b w:val="0"/>
          <w:i w:val="0"/>
          <w:sz w:val="18"/>
          <w:u w:val="none"/>
        </w:rPr>
        <w:t>ResearchGate discussion (2023). How can I find a dataset of pathological EMG signals?</w:t>
      </w:r>
    </w:p>
    <w:p>
      <w:pPr>
        <w:spacing w:before="0" w:after="40" w:line="220" w:lineRule="exact"/>
        <w:ind w:left="360" w:hanging="360"/>
        <w:jc w:val="both"/>
      </w:pPr>
      <w:r>
        <w:rPr>
          <w:rFonts w:ascii="Times New Roman" w:hAnsi="Times New Roman"/>
          <w:b w:val="0"/>
          <w:i w:val="0"/>
          <w:sz w:val="18"/>
          <w:u w:val="none"/>
        </w:rPr>
        <w:t>arXiv (2025). AI-enabled detection and assessment of PD using multimodal data: a survey.</w:t>
      </w:r>
    </w:p>
    <w:p>
      <w:pPr>
        <w:spacing w:before="0" w:after="40" w:line="220" w:lineRule="exact"/>
        <w:ind w:left="360" w:hanging="360"/>
        <w:jc w:val="both"/>
      </w:pPr>
      <w:r>
        <w:rPr>
          <w:rFonts w:ascii="Times New Roman" w:hAnsi="Times New Roman"/>
          <w:b w:val="0"/>
          <w:i w:val="0"/>
          <w:sz w:val="18"/>
          <w:u w:val="none"/>
        </w:rPr>
        <w:t>Siciliano, M. et al. (2024). Fatigue in Parkinson’s disease: pooled prevalence ~50%.</w:t>
      </w:r>
    </w:p>
    <w:p>
      <w:pPr>
        <w:spacing w:before="0" w:after="40" w:line="220" w:lineRule="exact"/>
        <w:ind w:left="360" w:hanging="360"/>
        <w:jc w:val="both"/>
      </w:pPr>
      <w:r>
        <w:rPr>
          <w:rFonts w:ascii="Times New Roman" w:hAnsi="Times New Roman"/>
          <w:b w:val="0"/>
          <w:i w:val="0"/>
          <w:sz w:val="18"/>
          <w:u w:val="none"/>
        </w:rPr>
        <w:t>Supriyono, Dragusanu, M., and Malvezzi, M. (2025). A comprehensive review of elbow exoskeletons: classification by structure, actuation, and sensing technologies. Sensors.</w:t>
      </w:r>
    </w:p>
    <w:p>
      <w:pPr>
        <w:spacing w:before="0" w:after="40" w:line="220" w:lineRule="exact"/>
        <w:ind w:left="360" w:hanging="360"/>
        <w:jc w:val="both"/>
      </w:pPr>
      <w:r>
        <w:rPr>
          <w:rFonts w:ascii="Times New Roman" w:hAnsi="Times New Roman"/>
          <w:b w:val="0"/>
          <w:i w:val="0"/>
          <w:sz w:val="18"/>
          <w:u w:val="none"/>
        </w:rPr>
        <w:t>Wang, H., Caggiano, V. et al. (2022). MyoSim: Fast and physiologically realistic MuJoCo models for musculoskeletal and exoskeletal studies. IEEE ICRA.</w:t>
      </w:r>
    </w:p>
    <w:p>
      <w:pPr>
        <w:spacing w:before="0" w:after="40" w:line="220" w:lineRule="exact"/>
        <w:ind w:left="360" w:hanging="360"/>
        <w:jc w:val="both"/>
      </w:pPr>
      <w:r>
        <w:rPr>
          <w:rFonts w:ascii="Times New Roman" w:hAnsi="Times New Roman"/>
          <w:b w:val="0"/>
          <w:i w:val="0"/>
          <w:sz w:val="18"/>
          <w:u w:val="none"/>
        </w:rPr>
        <w:t>Zajac, F.E. (1989). Muscle and tendon: properties, models, scaling, and application to biomechanics and motor control. Critical Reviews in Biomedical Engineering, 17(4), 359–411.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