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autoSpaceDE w:val="0"/>
        <w:widowControl/>
        <w:spacing w:line="344" w:lineRule="exact" w:before="370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R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G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AIN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X: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A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DAPTIVE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R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EINFORCEMENT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L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EARNING</w:t>
      </w:r>
    </w:p>
    <w:p>
      <w:pPr>
        <w:autoSpaceDN w:val="0"/>
        <w:autoSpaceDE w:val="0"/>
        <w:widowControl/>
        <w:spacing w:line="346" w:lineRule="exact" w:before="54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E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XOSKELETONS</w:t>
      </w:r>
    </w:p>
    <w:p>
      <w:pPr>
        <w:autoSpaceDN w:val="0"/>
        <w:autoSpaceDE w:val="0"/>
        <w:widowControl/>
        <w:spacing w:line="344" w:lineRule="exact" w:before="54" w:after="0"/>
        <w:ind w:left="0" w:right="0" w:firstLine="0"/>
        <w:jc w:val="center"/>
      </w:pP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FOR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R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EAL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-T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IME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ITIGATION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OF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P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ARKINSON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’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S</w:t>
      </w: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OTOR</w:t>
      </w:r>
    </w:p>
    <w:p>
      <w:pPr>
        <w:autoSpaceDN w:val="0"/>
        <w:autoSpaceDE w:val="0"/>
        <w:widowControl/>
        <w:spacing w:line="344" w:lineRule="exact" w:before="54" w:after="0"/>
        <w:ind w:left="0" w:right="0" w:firstLine="0"/>
        <w:jc w:val="center"/>
      </w:pPr>
      <w:r>
        <w:rPr>
          <w:w w:val="101.26706291647518"/>
          <w:rFonts w:ascii="NimbusRomNo9L" w:hAnsi="NimbusRomNo9L" w:eastAsia="NimbusRomNo9L"/>
          <w:b w:val="0"/>
          <w:i w:val="0"/>
          <w:color w:val="000000"/>
          <w:sz w:val="34"/>
        </w:rPr>
        <w:t>I</w:t>
      </w:r>
      <w:r>
        <w:rPr>
          <w:w w:val="98.37356976100376"/>
          <w:rFonts w:ascii="NimbusRomNo9L" w:hAnsi="NimbusRomNo9L" w:eastAsia="NimbusRomNo9L"/>
          <w:b w:val="0"/>
          <w:i w:val="0"/>
          <w:color w:val="000000"/>
          <w:sz w:val="28"/>
        </w:rPr>
        <w:t>MPAIRMENTS</w:t>
      </w:r>
    </w:p>
    <w:p>
      <w:pPr>
        <w:autoSpaceDN w:val="0"/>
        <w:autoSpaceDE w:val="0"/>
        <w:widowControl/>
        <w:spacing w:line="200" w:lineRule="exact" w:before="49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 P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REPRINT</w:t>
      </w:r>
    </w:p>
    <w:p>
      <w:pPr>
        <w:autoSpaceDN w:val="0"/>
        <w:autoSpaceDE w:val="0"/>
        <w:widowControl/>
        <w:spacing w:line="218" w:lineRule="exact" w:before="424" w:after="0"/>
        <w:ind w:left="2304" w:right="2304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Rohan Bankapur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Independent Researcher </w:t>
      </w:r>
      <w:r>
        <w:br/>
      </w:r>
      <w:r>
        <w:rPr>
          <w:rFonts w:ascii="F64" w:hAnsi="F64" w:eastAsia="F64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 xml:space="preserve">Rohannb02@gmail.com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Code: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github.com/TerminalRocketship45/ReGainX</w:t>
          </w:r>
        </w:hyperlink>
      </w:r>
    </w:p>
    <w:p>
      <w:pPr>
        <w:autoSpaceDN w:val="0"/>
        <w:autoSpaceDE w:val="0"/>
        <w:widowControl/>
        <w:spacing w:line="198" w:lineRule="exact" w:before="5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June 21, 2026</w:t>
      </w:r>
    </w:p>
    <w:p>
      <w:pPr>
        <w:autoSpaceDN w:val="0"/>
        <w:autoSpaceDE w:val="0"/>
        <w:widowControl/>
        <w:spacing w:line="238" w:lineRule="exact" w:before="304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</w:t>
      </w:r>
      <w:r>
        <w:rPr>
          <w:rFonts w:ascii="NimbusRomNo9L" w:hAnsi="NimbusRomNo9L" w:eastAsia="NimbusRomNo9L"/>
          <w:b/>
          <w:i w:val="0"/>
          <w:color w:val="000000"/>
          <w:sz w:val="19"/>
        </w:rPr>
        <w:t>BSTRACT</w:t>
      </w:r>
    </w:p>
    <w:p>
      <w:pPr>
        <w:autoSpaceDN w:val="0"/>
        <w:autoSpaceDE w:val="0"/>
        <w:widowControl/>
        <w:spacing w:line="218" w:lineRule="exact" w:before="182" w:after="0"/>
        <w:ind w:left="718" w:right="72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Parkinson’s disease (PD) limits daily elbow movement in over 10 million people, causing progressive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muscular degeneration and idiosyncratic bradykinesia.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Existing exoskeletons fail to generalise to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Parkinson’s patients due to a lack of representative data, hardware limitations, and calibration difficulty.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ReGainX introduces a three-stage multi-agent reinforcement learning framework that creates diverse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Proximal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Optimisation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(PPO).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custom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RecurrentPPO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algorithm with an LSTM policy fuses EMG and IMU data for real-time,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adaptive torque control.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494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88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across 4 000 stratified evaluation episodes spanning the full PD severity spectrum, 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per-session recalibration.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 ablation study demonstrates that the combined-trained policy achieves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higher trajectory match than exoskeletons trained on muscle weakness alone, sustaining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versus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policy—validating combined impairment modelling as a necessary condition for cross-patient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generalisability.</w:t>
      </w:r>
    </w:p>
    <w:p>
      <w:pPr>
        <w:autoSpaceDN w:val="0"/>
        <w:autoSpaceDE w:val="0"/>
        <w:widowControl/>
        <w:spacing w:line="218" w:lineRule="exact" w:before="214" w:after="0"/>
        <w:ind w:left="6" w:right="0" w:hanging="6"/>
        <w:jc w:val="left"/>
      </w:pPr>
      <w:r>
        <w:rPr>
          <w:rFonts w:ascii="NimbusRomNo9L" w:hAnsi="NimbusRomNo9L" w:eastAsia="NimbusRomNo9L"/>
          <w:b/>
          <w:i/>
          <w:color w:val="000000"/>
          <w:sz w:val="20"/>
        </w:rPr>
        <w:t>Keywords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 disease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exoskeleton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reinforcement learning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musculoskeletal simulation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bradykinesia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multi-agent systems</w:t>
      </w:r>
    </w:p>
    <w:p>
      <w:pPr>
        <w:autoSpaceDN w:val="0"/>
        <w:tabs>
          <w:tab w:pos="364" w:val="left"/>
        </w:tabs>
        <w:autoSpaceDE w:val="0"/>
        <w:widowControl/>
        <w:spacing w:line="238" w:lineRule="exact" w:before="328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18" w:lineRule="exact" w:before="230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 disease (PD) affects over 10 million people globally, costing $82.2 billion annually in the U.S. [Chaud-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huri et al., 2025, Parkinson’s Foundation, 2026].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Two compounding motor impairments progressively restrict daily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 movement: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muscular degeneration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the progressive weakening of muscle force by sarcopenia and fatigue, and 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bradykinesia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the fluctuating slowing and delay of voluntary movement.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Critically, PD motor severity does not remain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fixed—patients cycle between ON and OFF states within a single day as medication efficacy fluctuates, producing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unpredictable swings in impairment magnitude [Ramesh and Bilal, 2022].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Despite this, even mildly affected patients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22%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force production deficit at the elbow [Ingram et al., 2021].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Existing wearable technology fails PD patients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three ways: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per-session manual calibration, unreliable noisy sensing, and a lack of multimodal PD-specific datasets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needed to train generalisable devices [ResearchGate, 2023, arXiv, 2025].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Despite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interest in medical wearables,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of PD patients adopt them [Hirczy et al., 2024].</w:t>
      </w:r>
    </w:p>
    <w:p>
      <w:pPr>
        <w:autoSpaceDN w:val="0"/>
        <w:autoSpaceDE w:val="0"/>
        <w:widowControl/>
        <w:spacing w:line="218" w:lineRule="exact" w:before="110" w:after="0"/>
        <w:ind w:left="6" w:right="50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Elbow exoskeletons have evolved significantly since early devices relied on rigid trajectory control, where the controller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moved the joint through a fixed path regardless of user effort—a system that becomes inflexible when patient states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constantly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[Dalla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Gasperina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2021,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Myoelectric,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2022].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Supriyono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[2025],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 joint is the most targeted joint in upper-limb exoskeleton design, yet control strategies have historically required</w:t>
      </w:r>
    </w:p>
    <w:p>
      <w:pPr>
        <w:sectPr>
          <w:pgSz w:w="12240" w:h="15840"/>
          <w:pgMar w:top="792" w:right="1386" w:bottom="696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710"/>
        <w:gridCol w:w="4710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18" w:lineRule="exact" w:before="358" w:after="0"/>
        <w:ind w:left="0" w:right="0" w:firstLine="0"/>
        <w:jc w:val="center"/>
      </w:pP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patient-specific and session-specific parameter tuning that cannot account for short- and long-term severity fluctuations.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field has progressively shifted toward intent-detection using myoelectric signals; EMG captures continuous, multi-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channel neural drive data reflecting both movement intention and muscle activation state, but surface EMG remains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highly susceptible to noise and session-to-session variability—barriers compounded in PD patients whose neural drive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signals carry abnormal bursting patterns from basal ganglia dysfunction [Supriyono et al., 2025, MDPI Sensors, 2025].</w:t>
      </w:r>
    </w:p>
    <w:p>
      <w:pPr>
        <w:autoSpaceDN w:val="0"/>
        <w:autoSpaceDE w:val="0"/>
        <w:widowControl/>
        <w:spacing w:line="218" w:lineRule="exact" w:before="110" w:after="0"/>
        <w:ind w:left="6" w:right="4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 reinforcement learning (DRL) addresses this directly: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rather than calibrating to a fixed patient profile, a DRL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policy trained across a diverse distribution of patient conditions learns to generalise without manual re-tuning between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sessions.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Luo et al. [2024] validated this principle when training a hip exoskeleton entirely in simulation and deploying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 to real hardware without a single human experiment, achieving 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24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reduction in metabolic walking cost.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Endrei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[2025]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applied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specifically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PD,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demonstrating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tremor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suppression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shoulder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across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>dynamic movements.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Despite this, no prior work has trained an autonomous elbow exoskeleton controller for muscular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 and bradykinesia—the defined characteristics of PD motor impairments.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absence of real multimodal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PD patient datasets makes simulation-based training the only viable path, and no existing framework has constructed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proper environment to do this for exoskeletons.</w:t>
      </w:r>
    </w:p>
    <w:p>
      <w:pPr>
        <w:autoSpaceDN w:val="0"/>
        <w:autoSpaceDE w:val="0"/>
        <w:widowControl/>
        <w:spacing w:line="218" w:lineRule="exact" w:before="108" w:after="0"/>
        <w:ind w:left="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ReGainX addresses this with a three-phase multi-agent DRL framework. Using MyoSuite’s high-fidelity musculoskeletal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simulator [Caggiano et al., 2022], we first train a healthy digital twin of the human elbow with DRL, then simultaneously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apply randomised severities of muscular degeneration and bradykinesia to generate a distribution of PD digital twins,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finally train a DRL exoskeleton agent against the frozen PD controller across approximately 20 000 distinct PD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patient profiles.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objective of this paper is to assess whether deep reinforcement learning can produce an autonomous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elbow exoskeleton controller that provides real-time, adaptive mitigation of motor impairments at the elbow across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diverse PD patients.</w:t>
      </w:r>
    </w:p>
    <w:p>
      <w:pPr>
        <w:autoSpaceDN w:val="0"/>
        <w:tabs>
          <w:tab w:pos="364" w:val="left"/>
        </w:tabs>
        <w:autoSpaceDE w:val="0"/>
        <w:widowControl/>
        <w:spacing w:line="238" w:lineRule="exact" w:before="324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454" w:val="left"/>
        </w:tabs>
        <w:autoSpaceDE w:val="0"/>
        <w:widowControl/>
        <w:spacing w:line="200" w:lineRule="exact" w:before="242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Control Strategies for Upper-Limb Exoskeletons</w:t>
      </w:r>
    </w:p>
    <w:p>
      <w:pPr>
        <w:autoSpaceDN w:val="0"/>
        <w:autoSpaceDE w:val="0"/>
        <w:widowControl/>
        <w:spacing w:line="218" w:lineRule="exact" w:before="182" w:after="0"/>
        <w:ind w:left="6" w:right="0" w:firstLine="0"/>
        <w:jc w:val="left"/>
      </w:pP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Elbow exoskeletons have evolved across three distinct control generations.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First-generation devices applied forces inde-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pendently of voluntary human activity—an approach fundamentally unsuited to patients with non-constant impairment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levels [Dalla Gasperina et al., 2021].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logical successor, intent-detection through surface EMG, allows devices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respond to neural drive signals.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Supriyono et al. [2025] confirm that EMG and IMU sensing now dominate the field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precisely because of their low cost and high information density.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However, the same review identifies sEMG noise, elec-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trode placement shifts, and IMU drift as the primary barriers preventing reliable cross-patient generalisation [Supriyono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 al., 2025].</w:t>
      </w:r>
    </w:p>
    <w:p>
      <w:pPr>
        <w:autoSpaceDN w:val="0"/>
        <w:tabs>
          <w:tab w:pos="454" w:val="left"/>
        </w:tabs>
        <w:autoSpaceDE w:val="0"/>
        <w:widowControl/>
        <w:spacing w:line="198" w:lineRule="exact" w:before="276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Exoskeleton Research in Parkinson’s Disease</w:t>
      </w:r>
    </w:p>
    <w:p>
      <w:pPr>
        <w:autoSpaceDN w:val="0"/>
        <w:autoSpaceDE w:val="0"/>
        <w:widowControl/>
        <w:spacing w:line="218" w:lineRule="exact" w:before="184" w:after="0"/>
        <w:ind w:left="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Despite the scale of PD as a motor disorder, published exoskeleton work targeting PD patients remains strikingly sparse.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Fortunati et al. [2024] conducted a systematic review of powered lower-limb exoskeletons in PD gait training and found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only five original studies involving 46 patients total—all stable on medication, all at Hoehn and Yahr stages below 3.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None used adaptive or learning-based control.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Furthermore, all five studies addressed gait, with zero coverage of upper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limb function.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elbow—a major site of PD motor decline—has not been the target of any published PD-specific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exoskeleton study to date, and there is currently no standardised assessment or targeted intervention for upper limb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 in PD rehabilitation [Capato et al., 2023].</w:t>
      </w:r>
    </w:p>
    <w:p>
      <w:pPr>
        <w:autoSpaceDN w:val="0"/>
        <w:tabs>
          <w:tab w:pos="454" w:val="left"/>
        </w:tabs>
        <w:autoSpaceDE w:val="0"/>
        <w:widowControl/>
        <w:spacing w:line="200" w:lineRule="exact" w:before="276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Deep Reinforcement Learning for Exoskeleton Control</w:t>
      </w:r>
    </w:p>
    <w:p>
      <w:pPr>
        <w:autoSpaceDN w:val="0"/>
        <w:autoSpaceDE w:val="0"/>
        <w:widowControl/>
        <w:spacing w:line="218" w:lineRule="exact" w:before="184" w:after="0"/>
        <w:ind w:left="6" w:right="0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recognised limitation of static, patient-specific controllers has motivated a shift toward DRL. Luo et al. [2023]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presented the first DRL controller for a lower-limb rehabilitation exoskeleton trained on a coupled musculoskeletal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model, using domain randomisation of muscle strength across quadriplegic, muscle-weakness, and hemiplegic condi-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Luo et al. [2024] extended this to experiment-free deployment.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Endrei et al. [2025] applied DRL specifically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PD tremor suppression.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However, none of these works model the simultaneous interaction of muscular degeneration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and bradykinesia, nor construct a multi-agent environment where a simulated patient and an exoskeleton agent co-exist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 training.</w:t>
      </w:r>
    </w:p>
    <w:p>
      <w:pPr>
        <w:autoSpaceDN w:val="0"/>
        <w:tabs>
          <w:tab w:pos="454" w:val="left"/>
        </w:tabs>
        <w:autoSpaceDE w:val="0"/>
        <w:widowControl/>
        <w:spacing w:line="198" w:lineRule="exact" w:before="276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2.4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Musculoskeletal Simulation as a Training Foundation</w:t>
      </w:r>
    </w:p>
    <w:p>
      <w:pPr>
        <w:autoSpaceDN w:val="0"/>
        <w:autoSpaceDE w:val="0"/>
        <w:widowControl/>
        <w:spacing w:line="218" w:lineRule="exact" w:before="18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absence of PD datasets makes high-fidelity simulation the most viable training framework.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Caggiano et al. [2022]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introduced MyoSuite, a contact-rich musculoskeletal simulation suite built on MuJoCo that supports the modelling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322" w:right="1386" w:bottom="39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18" w:lineRule="exact" w:before="358" w:after="0"/>
        <w:ind w:left="8" w:right="5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physiological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impairments—including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fatigue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sarcopenia—as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non-stationarities.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[2022]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MyoSim,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operating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orders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magnitude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faster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tools,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large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episode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counts computationally feasible.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 prior work has applied these capabilities to train a PD-specific elbow exoskeleton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 under combined muscular degeneration and bradykinesia.</w:t>
      </w:r>
    </w:p>
    <w:p>
      <w:pPr>
        <w:autoSpaceDN w:val="0"/>
        <w:tabs>
          <w:tab w:pos="366" w:val="left"/>
        </w:tabs>
        <w:autoSpaceDE w:val="0"/>
        <w:widowControl/>
        <w:spacing w:line="240" w:lineRule="exact" w:before="40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Parkinson’s Disease Simulation</w:t>
      </w:r>
    </w:p>
    <w:p>
      <w:pPr>
        <w:autoSpaceDN w:val="0"/>
        <w:tabs>
          <w:tab w:pos="456" w:val="left"/>
        </w:tabs>
        <w:autoSpaceDE w:val="0"/>
        <w:widowControl/>
        <w:spacing w:line="198" w:lineRule="exact" w:before="29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Musculoskeletal Model and Joint Scope</w:t>
      </w:r>
    </w:p>
    <w:p>
      <w:pPr>
        <w:autoSpaceDN w:val="0"/>
        <w:autoSpaceDE w:val="0"/>
        <w:widowControl/>
        <w:spacing w:line="218" w:lineRule="exact" w:before="2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digital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twins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MyoSuite’s</w:t>
      </w:r>
      <w:r>
        <w:rPr>
          <w:rFonts w:ascii="F64" w:hAnsi="F64" w:eastAsia="F64"/>
          <w:b w:val="0"/>
          <w:i w:val="0"/>
          <w:color w:val="000000"/>
          <w:sz w:val="20"/>
        </w:rPr>
        <w:t>myoElbow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6-muscle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embedded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MuJoCo’s physics engine, comprising three primary flexors—BIClong, BICshort, and BRA—and three primary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extensors—TRIlong, TRIlat, and TRImed [Caggiano et al., 2022].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Muscle force generation follows Hill-type muscle-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tendon dynamics, in which each muscle’s contractile force depends on its activation level, fiber operating length,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contraction velocity [Zajac, 1989].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resulting joint torque is expressed through the rigid-body equation of motion:</w:t>
      </w:r>
    </w:p>
    <w:p>
      <w:pPr>
        <w:autoSpaceDN w:val="0"/>
        <w:tabs>
          <w:tab w:pos="9150" w:val="left"/>
        </w:tabs>
        <w:autoSpaceDE w:val="0"/>
        <w:widowControl/>
        <w:spacing w:line="206" w:lineRule="exact" w:before="204" w:after="0"/>
        <w:ind w:left="3314" w:right="0" w:firstLine="0"/>
        <w:jc w:val="left"/>
      </w:pPr>
      <w:r>
        <w:rPr>
          <w:rFonts w:ascii="CMMIB10" w:hAnsi="CMMIB10" w:eastAsia="CMMIB10"/>
          <w:b/>
          <w:i/>
          <w:color w:val="000000"/>
          <w:sz w:val="20"/>
        </w:rPr>
        <w:t>τ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)¨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 ˙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(1)</w:t>
      </w:r>
    </w:p>
    <w:p>
      <w:pPr>
        <w:autoSpaceDN w:val="0"/>
        <w:autoSpaceDE w:val="0"/>
        <w:widowControl/>
        <w:spacing w:line="218" w:lineRule="exact" w:before="198" w:after="0"/>
        <w:ind w:left="8" w:right="0" w:hanging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inertia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matrix,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Coriolis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centrifugal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forces,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q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gravitational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torque vector.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simulated joint operates 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 rad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138</w:t>
      </w:r>
      <w:r>
        <w:rPr>
          <w:rFonts w:ascii="CMSY7" w:hAnsi="CMSY7" w:eastAsia="CMSY7"/>
          <w:b w:val="0"/>
          <w:i/>
          <w:color w:val="000000"/>
          <w:sz w:val="14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consistent with the clinically established active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 of motion [Cools et al., 2017, Morrey et al., 1981].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exoskeleton provides a normalised torque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τ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exo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representing a fraction of the biological joint torque capacity following Durandau et al. [2019].</w:t>
      </w:r>
    </w:p>
    <w:p>
      <w:pPr>
        <w:autoSpaceDN w:val="0"/>
        <w:autoSpaceDE w:val="0"/>
        <w:widowControl/>
        <w:spacing w:line="218" w:lineRule="exact" w:before="110" w:after="0"/>
        <w:ind w:left="6" w:right="54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elbow is targeted for two clinical reasons: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 extensors show the largest force production deficit (</w:t>
      </w:r>
      <w:r>
        <w:rPr>
          <w:rFonts w:ascii="CMR10" w:hAnsi="CMR10" w:eastAsia="CMR10"/>
          <w:b w:val="0"/>
          <w:i w:val="0"/>
          <w:color w:val="000000"/>
          <w:sz w:val="20"/>
        </w:rPr>
        <w:t>22%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even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mildly affected, medicated PD patients [Ingram et al., 2021], and the hand-to-mouth movement—essential for eating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drinking—is significantly altered in PD through reduced elbow flexion velocity and range of motion, correlating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UPDRS-III scores [Caligiuri et al., 2018].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35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Muscular Degeneration Model</w:t>
      </w:r>
    </w:p>
    <w:p>
      <w:pPr>
        <w:autoSpaceDN w:val="0"/>
        <w:autoSpaceDE w:val="0"/>
        <w:widowControl/>
        <w:spacing w:line="218" w:lineRule="exact" w:before="208" w:after="0"/>
        <w:ind w:left="8" w:right="54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Muscular degeneration in PD arises from sarcopenia (OR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98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vs. controls, prevalence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31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4%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and chronic muscle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fatigue (pooled prevalence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50%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[Hart et al., 2023, Ponsoni et al., 2023, Siciliano et al., 2024].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ReGainX adopts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 degeneration equation from the MyoSuite framework [Caggiano et al., 2022]:</w:t>
      </w:r>
    </w:p>
    <w:p>
      <w:pPr>
        <w:autoSpaceDN w:val="0"/>
        <w:tabs>
          <w:tab w:pos="9150" w:val="left"/>
        </w:tabs>
        <w:autoSpaceDE w:val="0"/>
        <w:widowControl/>
        <w:spacing w:line="264" w:lineRule="exact" w:before="206" w:after="0"/>
        <w:ind w:left="292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deg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max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α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R7" w:hAnsi="CMR7" w:eastAsia="CMR7"/>
          <w:b w:val="0"/>
          <w:i w:val="0"/>
          <w:color w:val="000000"/>
          <w:sz w:val="14"/>
        </w:rPr>
        <w:t>+</w:t>
      </w:r>
      <w:r>
        <w:rPr>
          <w:rFonts w:ascii="CMMI7" w:hAnsi="CMMI7" w:eastAsia="CMMI7"/>
          <w:b w:val="0"/>
          <w:i/>
          <w:color w:val="000000"/>
          <w:sz w:val="14"/>
        </w:rPr>
        <w:t>βt</w:t>
      </w:r>
      <w:r>
        <w:rPr>
          <w:rFonts w:ascii="CMR7" w:hAnsi="CMR7" w:eastAsia="CMR7"/>
          <w:b w:val="0"/>
          <w:i w:val="0"/>
          <w:color w:val="000000"/>
          <w:sz w:val="14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loss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fati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(2)</w:t>
      </w:r>
    </w:p>
    <w:p>
      <w:pPr>
        <w:autoSpaceDN w:val="0"/>
        <w:autoSpaceDE w:val="0"/>
        <w:widowControl/>
        <w:spacing w:line="212" w:lineRule="exact" w:before="192" w:after="0"/>
        <w:ind w:left="4" w:right="0" w:hanging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sarcopenic mass-loss factor,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fatigue onset parameter (weighted toward higher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values reflecting patients who require assistance),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held at MyoSuite’s default value from the Cheema et al.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(2020) three-compartment fatigue model.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 parameters are independently randomised per episode.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35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Bradykinesia Model</w:t>
      </w:r>
    </w:p>
    <w:p>
      <w:pPr>
        <w:autoSpaceDN w:val="0"/>
        <w:autoSpaceDE w:val="0"/>
        <w:widowControl/>
        <w:spacing w:line="218" w:lineRule="exact" w:before="208" w:after="0"/>
        <w:ind w:left="8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Bradykinesia produces two quantifiable deficits: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 delay in movement initiation and a reduction in movement speed and 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amplitude.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>Off-medication PD patients move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41%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 slower than controls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29%</w:t>
      </w:r>
      <w:r>
        <w:rPr>
          <w:w w:val="98.72529029846191"/>
          <w:rFonts w:ascii="NimbusRomNo9L" w:hAnsi="NimbusRomNo9L" w:eastAsia="NimbusRomNo9L"/>
          <w:b w:val="0"/>
          <w:i w:val="0"/>
          <w:color w:val="000000"/>
          <w:sz w:val="20"/>
        </w:rPr>
        <w:t xml:space="preserve"> shorter displacement [Agostino et al.,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2015].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 models bradykinesia as:</w:t>
      </w:r>
    </w:p>
    <w:p>
      <w:pPr>
        <w:autoSpaceDN w:val="0"/>
        <w:tabs>
          <w:tab w:pos="9150" w:val="left"/>
        </w:tabs>
        <w:autoSpaceDE w:val="0"/>
        <w:widowControl/>
        <w:spacing w:line="222" w:lineRule="exact" w:before="98" w:after="0"/>
        <w:ind w:left="374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brady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∆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218" w:lineRule="exact" w:before="150" w:after="0"/>
        <w:ind w:left="8" w:right="54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∆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a temporal scaling factor (an action taking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 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healthy takes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 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 the PD patient) and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scales the movement amplitude, reproducing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41%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reduction documented clinically [Agostino 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al., 2015, Raethjen et al., 2018].</w:t>
      </w:r>
    </w:p>
    <w:p>
      <w:pPr>
        <w:autoSpaceDN w:val="0"/>
        <w:tabs>
          <w:tab w:pos="456" w:val="left"/>
        </w:tabs>
        <w:autoSpaceDE w:val="0"/>
        <w:widowControl/>
        <w:spacing w:line="198" w:lineRule="exact" w:before="35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3.4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Combined PD Severity and Episode Diversity</w:t>
      </w:r>
    </w:p>
    <w:p>
      <w:pPr>
        <w:autoSpaceDN w:val="0"/>
        <w:autoSpaceDE w:val="0"/>
        <w:widowControl/>
        <w:spacing w:line="218" w:lineRule="exact" w:before="210" w:after="0"/>
        <w:ind w:left="8" w:right="5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 impairments are applied simultaneously across all training episodes: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patient model has degraded peak force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capacity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delayed, attenuated movement.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composite PD severity of each episode is parameterised across both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impairment scales, with start angle and target goal angle randomised uniformly 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4]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 rad.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The policy encounters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 two identical patient profiles during training and must generalise across the full clinical spectrum.</w:t>
      </w:r>
    </w:p>
    <w:p>
      <w:pPr>
        <w:autoSpaceDN w:val="0"/>
        <w:autoSpaceDE w:val="0"/>
        <w:widowControl/>
        <w:spacing w:line="200" w:lineRule="exact" w:before="128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1 illustrates the effect of each impairment on muscle activation and joint trajectory.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322" w:right="138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1701800</wp:posOffset>
            </wp:positionV>
            <wp:extent cx="2413000" cy="187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7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1701800</wp:posOffset>
            </wp:positionV>
            <wp:extent cx="2425700" cy="1879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87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33" w:lineRule="auto" w:before="422" w:after="480"/>
        <w:ind w:left="0" w:right="0" w:firstLine="0"/>
        <w:jc w:val="center"/>
      </w:pPr>
      <w:r>
        <w:rPr>
          <w:w w:val="98.52554886429398"/>
          <w:rFonts w:ascii="Times New Roman" w:hAnsi="Times New Roman" w:eastAsia="Times New Roman"/>
          <w:b w:val="0"/>
          <w:i w:val="0"/>
          <w:color w:val="262626"/>
          <w:sz w:val="27"/>
        </w:rPr>
        <w:t>Parkinsonian Motor Deficit Modeling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  <w:gridCol w:w="589"/>
      </w:tblGrid>
      <w:tr>
        <w:trPr>
          <w:trHeight w:hRule="exact" w:val="41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604" w:right="0" w:firstLine="0"/>
              <w:jc w:val="left"/>
            </w:pPr>
            <w:r>
              <w:rPr>
                <w:w w:val="97.86652274753736"/>
                <w:rFonts w:ascii="Times New Roman" w:hAnsi="Times New Roman" w:eastAsia="Times New Roman"/>
                <w:b w:val="0"/>
                <w:i w:val="0"/>
                <w:color w:val="262626"/>
                <w:sz w:val="23"/>
              </w:rPr>
              <w:t>Muscle Activation (normalized)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1.2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42" w:after="0"/>
              <w:ind w:left="100" w:right="0" w:firstLine="0"/>
              <w:jc w:val="lef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42" w:after="0"/>
              <w:ind w:left="0" w:right="30" w:firstLine="0"/>
              <w:jc w:val="righ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</w:t>
            </w:r>
          </w:p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0" w:right="0" w:firstLine="0"/>
              <w:jc w:val="left"/>
            </w:pPr>
            <w:r>
              <w:rPr>
                <w:w w:val="98.05187384287515"/>
                <w:rFonts w:ascii="Times New Roman" w:hAnsi="Times New Roman" w:eastAsia="Times New Roman"/>
                <w:b w:val="0"/>
                <w:i w:val="0"/>
                <w:color w:val="262626"/>
                <w:sz w:val="24"/>
              </w:rPr>
              <w:t>Muscle Activation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1088" w:firstLine="0"/>
              <w:jc w:val="right"/>
            </w:pPr>
            <w:r>
              <w:rPr>
                <w:w w:val="97.86652274753736"/>
                <w:rFonts w:ascii="Times New Roman" w:hAnsi="Times New Roman" w:eastAsia="Times New Roman"/>
                <w:b w:val="0"/>
                <w:i w:val="0"/>
                <w:color w:val="262626"/>
                <w:sz w:val="23"/>
              </w:rPr>
              <w:t>Joint Angle (rad)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2.0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42" w:after="0"/>
              <w:ind w:left="114" w:right="0" w:firstLine="0"/>
              <w:jc w:val="lef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</w:t>
            </w:r>
          </w:p>
        </w:tc>
        <w:tc>
          <w:tcPr>
            <w:tcW w:type="dxa" w:w="33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58" w:right="0" w:firstLine="0"/>
              <w:jc w:val="left"/>
            </w:pPr>
            <w:r>
              <w:rPr>
                <w:w w:val="98.05187384287515"/>
                <w:rFonts w:ascii="Times New Roman" w:hAnsi="Times New Roman" w:eastAsia="Times New Roman"/>
                <w:b w:val="0"/>
                <w:i w:val="0"/>
                <w:color w:val="262626"/>
                <w:sz w:val="24"/>
              </w:rPr>
              <w:t>Joint Angle Trajectory</w:t>
            </w:r>
          </w:p>
        </w:tc>
      </w:tr>
      <w:tr>
        <w:trPr>
          <w:trHeight w:hRule="exact" w:val="268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706" w:right="0" w:firstLine="0"/>
              <w:jc w:val="left"/>
            </w:pPr>
            <w:r>
              <w:rPr>
                <w:w w:val="98.22239557902019"/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Healthy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" w:after="0"/>
              <w:ind w:left="706" w:right="0" w:firstLine="0"/>
              <w:jc w:val="left"/>
            </w:pPr>
            <w:r>
              <w:rPr>
                <w:w w:val="98.22239557902019"/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Degeneration (</w:t>
            </w:r>
            <w:r>
              <w:rPr>
                <w:w w:val="98.22239557902019"/>
                <w:rFonts w:ascii="STIXGeneral" w:hAnsi="STIXGeneral" w:eastAsia="STIXGeneral"/>
                <w:b w:val="0"/>
                <w:i/>
                <w:color w:val="262626"/>
                <w:sz w:val="15"/>
              </w:rPr>
              <w:t>α</w:t>
            </w:r>
            <w:r>
              <w:rPr>
                <w:w w:val="103.13351631164551"/>
                <w:rFonts w:ascii="STIXGeneral" w:hAnsi="STIXGeneral" w:eastAsia="STIXGeneral"/>
                <w:b w:val="0"/>
                <w:i w:val="0"/>
                <w:color w:val="262626"/>
                <w:sz w:val="10"/>
              </w:rPr>
              <w:t>1</w:t>
            </w:r>
            <w:r>
              <w:rPr>
                <w:w w:val="98.22239557902019"/>
                <w:rFonts w:ascii="STIXGeneral" w:hAnsi="STIXGeneral" w:eastAsia="STIXGeneral"/>
                <w:b w:val="0"/>
                <w:i w:val="0"/>
                <w:color w:val="262626"/>
                <w:sz w:val="15"/>
              </w:rPr>
              <w:t xml:space="preserve"> = 0.5,</w:t>
            </w:r>
            <w:r>
              <w:rPr>
                <w:w w:val="98.22239557902019"/>
                <w:rFonts w:ascii="STIXGeneral" w:hAnsi="STIXGeneral" w:eastAsia="STIXGeneral"/>
                <w:b w:val="0"/>
                <w:i/>
                <w:color w:val="262626"/>
                <w:sz w:val="15"/>
              </w:rPr>
              <w:t>β</w:t>
            </w:r>
            <w:r>
              <w:rPr>
                <w:w w:val="98.22239557902019"/>
                <w:rFonts w:ascii="STIXGeneral" w:hAnsi="STIXGeneral" w:eastAsia="STIXGeneral"/>
                <w:b w:val="0"/>
                <w:i w:val="0"/>
                <w:color w:val="262626"/>
                <w:sz w:val="15"/>
              </w:rPr>
              <w:t>= 0.3</w:t>
            </w:r>
            <w:r>
              <w:rPr>
                <w:w w:val="98.22239557902019"/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)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706" w:right="0" w:firstLine="0"/>
              <w:jc w:val="left"/>
            </w:pPr>
            <w:r>
              <w:rPr>
                <w:w w:val="98.22239557902019"/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Combined PD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0.8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92" w:after="0"/>
              <w:ind w:left="0" w:right="240" w:firstLine="0"/>
              <w:jc w:val="righ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40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92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60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92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80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92" w:after="0"/>
              <w:ind w:left="0" w:right="140" w:firstLine="0"/>
              <w:jc w:val="righ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100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1.5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33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78" w:after="0"/>
              <w:ind w:left="0" w:right="9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Healthy</w:t>
            </w:r>
          </w:p>
        </w:tc>
      </w:tr>
      <w:tr>
        <w:trPr>
          <w:trHeight w:hRule="exact" w:val="470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0.6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0.4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0.5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0.2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45"/>
            <w:gridSpan w:val="5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rPr>
                <w:w w:val="102.31499391443589"/>
                <w:rFonts w:ascii="STIXGeneral" w:hAnsi="STIXGeneral" w:eastAsia="STIXGeneral"/>
                <w:b w:val="0"/>
                <w:i w:val="0"/>
                <w:color w:val="000000"/>
                <w:sz w:val="17"/>
              </w:rPr>
              <w:t>Δ</w:t>
            </w:r>
            <w:r>
              <w:rPr>
                <w:w w:val="101.46237214406331"/>
                <w:rFonts w:ascii="STIXGeneral" w:hAnsi="STIXGeneral" w:eastAsia="STIXGeneral"/>
                <w:b w:val="0"/>
                <w:i/>
                <w:color w:val="000000"/>
                <w:sz w:val="12"/>
              </w:rPr>
              <w:t>i</w:t>
            </w:r>
            <w:r>
              <w:rPr>
                <w:w w:val="102.31499391443589"/>
                <w:rFonts w:ascii="Times New Roman" w:hAnsi="Times New Roman" w:eastAsia="Times New Roman"/>
                <w:b w:val="0"/>
                <w:i/>
                <w:color w:val="000000"/>
                <w:sz w:val="17"/>
              </w:rPr>
              <w:t xml:space="preserve"> delay</w:t>
            </w:r>
          </w:p>
        </w:tc>
        <w:tc>
          <w:tcPr>
            <w:tcW w:type="dxa" w:w="2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6" w:after="0"/>
              <w:ind w:left="103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 xml:space="preserve">Degeneration-only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Combined PD</w:t>
            </w:r>
          </w:p>
        </w:tc>
      </w:tr>
      <w:tr>
        <w:trPr>
          <w:trHeight w:hRule="exact" w:val="92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356"/>
            <w:gridSpan w:val="4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589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356"/>
            <w:gridSpan w:val="4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436" w:firstLine="0"/>
              <w:jc w:val="righ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</w:t>
            </w:r>
          </w:p>
        </w:tc>
        <w:tc>
          <w:tcPr>
            <w:tcW w:type="dxa" w:w="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70" w:right="0" w:firstLine="0"/>
              <w:jc w:val="lef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40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60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80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88" w:firstLine="0"/>
              <w:jc w:val="right"/>
            </w:pPr>
            <w:r>
              <w:rPr>
                <w:w w:val="102.31499142116971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100</w:t>
            </w:r>
          </w:p>
        </w:tc>
      </w:tr>
      <w:tr>
        <w:trPr>
          <w:trHeight w:hRule="exact" w:val="342"/>
        </w:trPr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2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82" w:right="0" w:firstLine="0"/>
              <w:jc w:val="left"/>
            </w:pPr>
            <w:r>
              <w:rPr>
                <w:w w:val="97.86652274753736"/>
                <w:rFonts w:ascii="Times New Roman" w:hAnsi="Times New Roman" w:eastAsia="Times New Roman"/>
                <w:b w:val="0"/>
                <w:i w:val="0"/>
                <w:color w:val="262626"/>
                <w:sz w:val="23"/>
              </w:rPr>
              <w:t>Timestep</w:t>
            </w:r>
          </w:p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589"/>
            <w:vMerge/>
            <w:tcBorders/>
          </w:tcPr>
          <w:p/>
        </w:tc>
        <w:tc>
          <w:tcPr>
            <w:tcW w:type="dxa" w:w="3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554" w:firstLine="0"/>
              <w:jc w:val="right"/>
            </w:pPr>
            <w:r>
              <w:rPr>
                <w:w w:val="97.86652274753736"/>
                <w:rFonts w:ascii="Times New Roman" w:hAnsi="Times New Roman" w:eastAsia="Times New Roman"/>
                <w:b w:val="0"/>
                <w:i w:val="0"/>
                <w:color w:val="262626"/>
                <w:sz w:val="23"/>
              </w:rPr>
              <w:t>Timestep</w:t>
            </w:r>
          </w:p>
        </w:tc>
      </w:tr>
    </w:tbl>
    <w:p>
      <w:pPr>
        <w:autoSpaceDN w:val="0"/>
        <w:autoSpaceDE w:val="0"/>
        <w:widowControl/>
        <w:spacing w:line="218" w:lineRule="exact" w:before="210" w:after="0"/>
        <w:ind w:left="8" w:right="5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Parkinsonian motor-deficit model.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Left: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muscle activation is reduced by degeneration and further delayed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 combined PD impairment.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Right: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joint-angle trajectories show reduced reach and delayed onset; the vertical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dashed line marks the akinetic delay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∆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66" w:val="left"/>
        </w:tabs>
        <w:autoSpaceDE w:val="0"/>
        <w:widowControl/>
        <w:spacing w:line="240" w:lineRule="exact" w:before="43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Methodology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254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Safety Design</w:t>
      </w:r>
    </w:p>
    <w:p>
      <w:pPr>
        <w:autoSpaceDN w:val="0"/>
        <w:autoSpaceDE w:val="0"/>
        <w:widowControl/>
        <w:spacing w:line="218" w:lineRule="exact" w:before="184" w:after="0"/>
        <w:ind w:left="8" w:right="0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MyoSuite exoskeleton model incorporates an upper-arm attachment 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101 kg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 and a forearm attachment 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111 kg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weight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212 kg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—within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 kg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identified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feasible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strength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[PMC,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2025a,b].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healthy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attached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achieved perfect trajectory match, confirming the modelled weight does not interfere with voluntary movement.</w:t>
      </w:r>
    </w:p>
    <w:p>
      <w:pPr>
        <w:autoSpaceDN w:val="0"/>
        <w:autoSpaceDE w:val="0"/>
        <w:widowControl/>
        <w:spacing w:line="218" w:lineRule="exact" w:before="110" w:after="0"/>
        <w:ind w:left="8" w:right="0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Two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explicit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safety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constraints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enforced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First,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hard-capped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 rad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anatomically established upper limit of active elbow flexion [Cools et al., 2017].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Second, exoskeleton torque 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normalised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as a fraction of biological joint torque; the exoskeleton cannot deliver more torque than the joint’s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own biological capacity.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29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Multi-Agent Training Framework</w:t>
      </w:r>
    </w:p>
    <w:p>
      <w:pPr>
        <w:autoSpaceDN w:val="0"/>
        <w:autoSpaceDE w:val="0"/>
        <w:widowControl/>
        <w:spacing w:line="218" w:lineRule="exact" w:before="182" w:after="200"/>
        <w:ind w:left="8" w:right="54" w:firstLine="0"/>
        <w:jc w:val="both"/>
      </w:pP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ReGainX implements a three-phase pipeline (Figure 2), sequentially developing a healthy musculoskeletal controller,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simulated PD patient, and an exoskeleton agent.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patient controller is frozen before exoskeleton training begins to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prevent co-adaptation: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if both agents trained simultaneously, the patient model could learn to move in unnatural patterns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that inflate the reward—a failure that would not transfer to real patients whose movement patterns are not shaped by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 is designed so the exoskeleton adapts to the patient, not vice versa.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>
        <w:trPr>
          <w:trHeight w:hRule="exact" w:val="27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Healthy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Controller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Training.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musculoskeletal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elbow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controller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trained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8" w:right="54" w:firstLine="0"/>
        <w:jc w:val="both"/>
      </w:pPr>
      <w:r>
        <w:rPr>
          <w:rFonts w:ascii="F64" w:hAnsi="F64" w:eastAsia="F64"/>
          <w:b w:val="0"/>
          <w:i w:val="0"/>
          <w:color w:val="000000"/>
          <w:sz w:val="20"/>
        </w:rPr>
        <w:t>myoElbowPose1D6MRandom-v0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—a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healthy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6-muscle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model—via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[Raffin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250 000 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timesteps, with policy updates every 2 048 steps.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>The action space is the 6-dimensional neural drive signal.</w:t>
      </w:r>
      <w:r>
        <w:rPr>
          <w:w w:val="98.9261531829834"/>
          <w:rFonts w:ascii="NimbusRomNo9L" w:hAnsi="NimbusRomNo9L" w:eastAsia="NimbusRomNo9L"/>
          <w:b w:val="0"/>
          <w:i w:val="0"/>
          <w:color w:val="000000"/>
          <w:sz w:val="20"/>
        </w:rPr>
        <w:t xml:space="preserve">The reward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 given each timestep, scaled to how much closer the joint moved toward the target angle.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starting and target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angles are drawn uniformly 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4] rad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per episode.</w:t>
      </w:r>
    </w:p>
    <w:p>
      <w:pPr>
        <w:autoSpaceDN w:val="0"/>
        <w:tabs>
          <w:tab w:pos="4530" w:val="left"/>
        </w:tabs>
        <w:autoSpaceDE w:val="0"/>
        <w:widowControl/>
        <w:spacing w:line="218" w:lineRule="exact" w:before="244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Phase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2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—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Patient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Controller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Setup.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healthy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transferred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unchanged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impaired environment (Section 3).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Joint position errors increase, targets are missed, and reduced peak force combined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slowed activation dynamics creates a realistic impaired profile.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Randomising impairment parameters alongside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starting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target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angles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generates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20 000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distinct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profiles—serving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simulation-based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322" w:right="138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52" w:lineRule="auto" w:before="420" w:after="218"/>
        <w:ind w:left="2736" w:right="2880" w:firstLine="0"/>
        <w:jc w:val="center"/>
      </w:pPr>
      <w:r>
        <w:rPr>
          <w:w w:val="98.88152246889861"/>
          <w:rFonts w:ascii="Times New Roman" w:hAnsi="Times New Roman" w:eastAsia="Times New Roman"/>
          <w:b w:val="0"/>
          <w:i w:val="0"/>
          <w:color w:val="262626"/>
          <w:sz w:val="23"/>
        </w:rPr>
        <w:t xml:space="preserve">ReGainX Three-Phase Training Pipeline </w:t>
      </w:r>
      <w:r>
        <w:br/>
      </w:r>
      <w:r>
        <w:rPr>
          <w:w w:val="103.10046513875326"/>
          <w:rFonts w:ascii="Times New Roman" w:hAnsi="Times New Roman" w:eastAsia="Times New Roman"/>
          <w:b w:val="0"/>
          <w:i w:val="0"/>
          <w:color w:val="000000"/>
          <w:sz w:val="15"/>
        </w:rPr>
        <w:t>target = 2.0 rad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41"/>
        <w:gridCol w:w="3141"/>
        <w:gridCol w:w="3141"/>
      </w:tblGrid>
      <w:tr>
        <w:trPr>
          <w:trHeight w:hRule="exact" w:val="29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Phase 1: Healthy Controller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Phase 2: PD Patient (Frozen)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Phase 3: Exoskeleton Agent</w:t>
            </w:r>
          </w:p>
        </w:tc>
      </w:tr>
      <w:tr>
        <w:trPr>
          <w:trHeight w:hRule="exact" w:val="340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7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4030" cy="21158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2115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30" cy="21158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2115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9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4030" cy="21158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2115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8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642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PPO trains the 6-muscle elbow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Healthy policy is frozen and run under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476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RecurrentPPO (LSTM) adds torque to the</w:t>
            </w:r>
          </w:p>
        </w:tc>
      </w:tr>
      <w:tr>
        <w:trPr>
          <w:trHeight w:hRule="exact" w:val="140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72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(myoElbow, 250k steps). The healthy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bradykinesia and muscular degeneration.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0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frozen patient (2M steps, POMDP).</w:t>
            </w:r>
          </w:p>
        </w:tc>
      </w:tr>
      <w:tr>
        <w:trPr>
          <w:trHeight w:hRule="exact" w:val="228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62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arm reaches the 2.0 rad target.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It stalls at 0.7 rad; the target is missed.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546" w:right="0" w:firstLine="0"/>
              <w:jc w:val="left"/>
            </w:pPr>
            <w:r>
              <w:rPr>
                <w:w w:val="102.1674302908090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Assisted arm reaches the 2.0 rad target.</w:t>
            </w:r>
          </w:p>
        </w:tc>
      </w:tr>
    </w:tbl>
    <w:p>
      <w:pPr>
        <w:autoSpaceDN w:val="0"/>
        <w:autoSpaceDE w:val="0"/>
        <w:widowControl/>
        <w:spacing w:line="218" w:lineRule="exact" w:before="192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Three-phase ReGainX training pipeline, shown with MuJoCo/MyoSuite renders at a fixed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 rad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target.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Phase 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PPO healthy controller (trained) drives the six elbow muscles and reaches the target.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Phase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same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controller is frozen and run under combined bradykinesia and muscular degeneration, stalling well short of the target. </w:t>
      </w:r>
      <w:r>
        <w:rPr>
          <w:w w:val="98.62470626831055"/>
          <w:rFonts w:ascii="NimbusRomNo9L" w:hAnsi="NimbusRomNo9L" w:eastAsia="NimbusRomNo9L"/>
          <w:b/>
          <w:i w:val="0"/>
          <w:color w:val="000000"/>
          <w:sz w:val="20"/>
        </w:rPr>
        <w:t>Phase 3: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a RecurrentPPO exoskeleton agent (trained) supplies assistive torque to the frozen patient, restoring movement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the target.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exoskeleton is trained under domain randomisation over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20 000 PD profiles.</w:t>
      </w:r>
    </w:p>
    <w:p>
      <w:pPr>
        <w:autoSpaceDN w:val="0"/>
        <w:autoSpaceDE w:val="0"/>
        <w:widowControl/>
        <w:spacing w:line="216" w:lineRule="exact" w:before="452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alternative to real PD datasets,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which are scarce [ResearchGate, 2023, arXiv, 2025].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controller is then frozen,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representing a PD patient still attempting voluntary movement but unable to complete it.</w:t>
      </w:r>
    </w:p>
    <w:p>
      <w:pPr>
        <w:autoSpaceDN w:val="0"/>
        <w:tabs>
          <w:tab w:pos="3664" w:val="left"/>
        </w:tabs>
        <w:autoSpaceDE w:val="0"/>
        <w:widowControl/>
        <w:spacing w:line="226" w:lineRule="exact" w:before="240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Phase 3 — Exoskeleton Agent Training.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the PD controller frozen, the exoskeleton agent is initialised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 for 2 000 000 timesteps using RecurrentPPO. Both agents act within the same environment each timestep.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 agent receives an 8-dimensional observation and outputs a single normalised torque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τ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exo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96" w:after="0"/>
        <w:ind w:left="8" w:right="0" w:hanging="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observation space satisfies the Markov property: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consists of the 6 current muscle activations from the patient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controller, the current joint angle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and the current joint velocity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q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. Velocity encodes the rate of joint state change 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requiring access to prior states.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target angle and starting angle are excluded: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is not feasible to input precise joint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angles every millisecond in deployment, and it is impossible to extract the patient’s intended target from neural signals.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 diversity is achieved through continuous domain randomisation of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force_scale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activation_slowdown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muscle fatigue fraction at each episode.</w:t>
      </w:r>
    </w:p>
    <w:p>
      <w:pPr>
        <w:autoSpaceDN w:val="0"/>
        <w:tabs>
          <w:tab w:pos="456" w:val="left"/>
        </w:tabs>
        <w:autoSpaceDE w:val="0"/>
        <w:widowControl/>
        <w:spacing w:line="198" w:lineRule="exact" w:before="29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Policy Architecture</w:t>
      </w:r>
    </w:p>
    <w:p>
      <w:pPr>
        <w:autoSpaceDN w:val="0"/>
        <w:autoSpaceDE w:val="0"/>
        <w:widowControl/>
        <w:spacing w:line="218" w:lineRule="exact" w:before="184" w:after="0"/>
        <w:ind w:left="8" w:right="54" w:hanging="6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exoskeleton policy is a RecurrentPPO [Raffin and Kanervisto, 2023], which augments the standard PPO actor-critic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LSTM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layer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observation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input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head.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timestep,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LSTM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maintains a cell state and hidden state carried forward across timesteps within an episode.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At episode boundaries both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states are reset, ensuring the policy re-initialises its temporal context for each new patient profile.</w:t>
      </w:r>
    </w:p>
    <w:p>
      <w:pPr>
        <w:autoSpaceDN w:val="0"/>
        <w:autoSpaceDE w:val="0"/>
        <w:widowControl/>
        <w:spacing w:line="218" w:lineRule="exact" w:before="110" w:after="0"/>
        <w:ind w:left="8" w:right="48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formulates the control problem as a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Partially Observable Markov Decision Process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(POMDP): the observation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deliberately excludes the user’s goal angle.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LSTM builds up evidence about the patient’s activation pattern over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movement, allowing the policy to infer the direction of intended movement and the degree to which impairment will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prevent its completion.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feedforward policy acting only on the current observation cannot distinguish a progressively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fatiguing patient from one at a stable impairment level.</w:t>
      </w:r>
    </w:p>
    <w:p>
      <w:pPr>
        <w:autoSpaceDN w:val="0"/>
        <w:autoSpaceDE w:val="0"/>
        <w:widowControl/>
        <w:spacing w:line="210" w:lineRule="exact" w:before="134" w:after="0"/>
        <w:ind w:left="8" w:right="54" w:hanging="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shorter rollout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steps</w:t>
      </w:r>
      <w:r>
        <w:rPr>
          <w:rFonts w:ascii="CMR10" w:hAnsi="CMR10" w:eastAsia="CMR10"/>
          <w:b w:val="0"/>
          <w:i w:val="0"/>
          <w:color w:val="000000"/>
          <w:sz w:val="20"/>
        </w:rPr>
        <w:t>=256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was used (vs. 2 048 in Phase 1) to produce more frequent LSTM state resets during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amplifying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episode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boundary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truncated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backpropagation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avoid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vanishing gradients.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322" w:right="138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1193800</wp:posOffset>
            </wp:positionV>
            <wp:extent cx="5321300" cy="2921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2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1"/>
        <w:gridCol w:w="4701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30" w:lineRule="auto" w:before="422" w:after="0"/>
        <w:ind w:left="0" w:right="3032" w:firstLine="0"/>
        <w:jc w:val="right"/>
      </w:pPr>
      <w:r>
        <w:rPr>
          <w:w w:val="98.31081672951028"/>
          <w:rFonts w:ascii="Times New Roman" w:hAnsi="Times New Roman" w:eastAsia="Times New Roman"/>
          <w:b w:val="0"/>
          <w:i w:val="0"/>
          <w:color w:val="262626"/>
          <w:sz w:val="27"/>
        </w:rPr>
        <w:t>Training Reward Curves</w:t>
      </w:r>
    </w:p>
    <w:p>
      <w:pPr>
        <w:autoSpaceDN w:val="0"/>
        <w:autoSpaceDE w:val="0"/>
        <w:widowControl/>
        <w:spacing w:line="233" w:lineRule="auto" w:before="56" w:after="0"/>
        <w:ind w:left="550" w:right="0" w:firstLine="0"/>
        <w:jc w:val="left"/>
      </w:pPr>
      <w:r>
        <w:rPr>
          <w:w w:val="102.09200117323134"/>
          <w:rFonts w:ascii="Times New Roman" w:hAnsi="Times New Roman" w:eastAsia="Times New Roman"/>
          <w:b w:val="0"/>
          <w:i w:val="0"/>
          <w:color w:val="262626"/>
          <w:sz w:val="18"/>
        </w:rPr>
        <w:t>700</w:t>
      </w:r>
    </w:p>
    <w:p>
      <w:pPr>
        <w:autoSpaceDN w:val="0"/>
        <w:autoSpaceDE w:val="0"/>
        <w:widowControl/>
        <w:spacing w:line="233" w:lineRule="auto" w:before="318" w:after="258"/>
        <w:ind w:left="550" w:right="0" w:firstLine="0"/>
        <w:jc w:val="left"/>
      </w:pPr>
      <w:r>
        <w:rPr>
          <w:w w:val="102.09200117323134"/>
          <w:rFonts w:ascii="Times New Roman" w:hAnsi="Times New Roman" w:eastAsia="Times New Roman"/>
          <w:b w:val="0"/>
          <w:i w:val="0"/>
          <w:color w:val="262626"/>
          <w:sz w:val="18"/>
        </w:rPr>
        <w:t>600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3134"/>
        <w:gridCol w:w="3134"/>
        <w:gridCol w:w="3134"/>
      </w:tblGrid>
      <w:tr>
        <w:trPr>
          <w:trHeight w:hRule="exact" w:val="41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82" w:right="0" w:firstLine="0"/>
              <w:jc w:val="left"/>
            </w:pPr>
            <w:r>
              <w:rPr>
                <w:w w:val="102.09200598976828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Episodic Reward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500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0" w:after="0"/>
              <w:ind w:left="0" w:right="164" w:firstLine="0"/>
              <w:jc w:val="right"/>
            </w:pPr>
            <w:r>
              <w:rPr>
                <w:w w:val="102.09200241986443"/>
                <w:rFonts w:ascii="Times New Roman" w:hAnsi="Times New Roman" w:eastAsia="Times New Roman"/>
                <w:b w:val="0"/>
                <w:i w:val="0"/>
                <w:color w:val="262626"/>
                <w:sz w:val="17"/>
              </w:rPr>
              <w:t>RecurrentPPO brady+deg</w:t>
            </w:r>
          </w:p>
        </w:tc>
      </w:tr>
      <w:tr>
        <w:trPr>
          <w:trHeight w:hRule="exact" w:val="520"/>
        </w:trPr>
        <w:tc>
          <w:tcPr>
            <w:tcW w:type="dxa" w:w="3134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9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400</w:t>
            </w:r>
          </w:p>
        </w:tc>
        <w:tc>
          <w:tcPr>
            <w:tcW w:type="dxa" w:w="3134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134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9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300</w:t>
            </w:r>
          </w:p>
        </w:tc>
        <w:tc>
          <w:tcPr>
            <w:tcW w:type="dxa" w:w="3134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134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9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200</w:t>
            </w:r>
          </w:p>
        </w:tc>
        <w:tc>
          <w:tcPr>
            <w:tcW w:type="dxa" w:w="3134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3134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9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100</w:t>
            </w:r>
          </w:p>
        </w:tc>
        <w:tc>
          <w:tcPr>
            <w:tcW w:type="dxa" w:w="3134"/>
            <w:vMerge/>
            <w:tcBorders/>
          </w:tcPr>
          <w:p/>
        </w:tc>
      </w:tr>
    </w:tbl>
    <w:p>
      <w:pPr>
        <w:autoSpaceDN w:val="0"/>
        <w:tabs>
          <w:tab w:pos="7280" w:val="left"/>
        </w:tabs>
        <w:autoSpaceDE w:val="0"/>
        <w:widowControl/>
        <w:spacing w:line="262" w:lineRule="auto" w:before="30" w:after="0"/>
        <w:ind w:left="734" w:right="432" w:firstLine="0"/>
        <w:jc w:val="left"/>
      </w:pPr>
      <w:r>
        <w:tab/>
      </w:r>
      <w:r>
        <w:rPr>
          <w:w w:val="102.09200241986443"/>
          <w:rFonts w:ascii="Times New Roman" w:hAnsi="Times New Roman" w:eastAsia="Times New Roman"/>
          <w:b w:val="0"/>
          <w:i w:val="0"/>
          <w:color w:val="262626"/>
          <w:sz w:val="17"/>
        </w:rPr>
        <w:t xml:space="preserve">RecurrentPPO deg-only </w:t>
      </w:r>
      <w:r>
        <w:rPr>
          <w:w w:val="102.09200117323134"/>
          <w:rFonts w:ascii="Times New Roman" w:hAnsi="Times New Roman" w:eastAsia="Times New Roman"/>
          <w:b w:val="0"/>
          <w:i w:val="0"/>
          <w:color w:val="262626"/>
          <w:sz w:val="18"/>
        </w:rPr>
        <w:t xml:space="preserve">0 </w:t>
      </w:r>
      <w:r>
        <w:tab/>
      </w:r>
      <w:r>
        <w:rPr>
          <w:w w:val="102.09200241986443"/>
          <w:rFonts w:ascii="Times New Roman" w:hAnsi="Times New Roman" w:eastAsia="Times New Roman"/>
          <w:b w:val="0"/>
          <w:i w:val="0"/>
          <w:color w:val="262626"/>
          <w:sz w:val="17"/>
        </w:rPr>
        <w:t>Noisy RecurrentPPO</w:t>
      </w:r>
    </w:p>
    <w:p>
      <w:pPr>
        <w:autoSpaceDN w:val="0"/>
        <w:autoSpaceDE w:val="0"/>
        <w:widowControl/>
        <w:spacing w:line="230" w:lineRule="auto" w:before="62" w:after="10"/>
        <w:ind w:left="0" w:right="984" w:firstLine="0"/>
        <w:jc w:val="right"/>
      </w:pPr>
      <w:r>
        <w:rPr>
          <w:w w:val="102.09200241986443"/>
          <w:rFonts w:ascii="Times New Roman" w:hAnsi="Times New Roman" w:eastAsia="Times New Roman"/>
          <w:b w:val="0"/>
          <w:i w:val="0"/>
          <w:color w:val="262626"/>
          <w:sz w:val="17"/>
        </w:rPr>
        <w:t>MLP brady+deg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>
        <w:trPr>
          <w:trHeight w:hRule="exact" w:val="328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48" w:firstLine="0"/>
              <w:jc w:val="righ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−100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8" w:after="0"/>
              <w:ind w:left="186" w:right="0" w:firstLine="0"/>
              <w:jc w:val="lef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8" w:after="0"/>
              <w:ind w:left="0" w:right="0" w:firstLine="0"/>
              <w:jc w:val="center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0.2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8" w:after="0"/>
              <w:ind w:left="0" w:right="0" w:firstLine="0"/>
              <w:jc w:val="center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0.4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8" w:after="0"/>
              <w:ind w:left="0" w:right="0" w:firstLine="0"/>
              <w:jc w:val="center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0.6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202" w:firstLine="0"/>
              <w:jc w:val="right"/>
            </w:pPr>
            <w:r>
              <w:rPr>
                <w:w w:val="102.09200241986443"/>
                <w:rFonts w:ascii="Times New Roman" w:hAnsi="Times New Roman" w:eastAsia="Times New Roman"/>
                <w:b w:val="0"/>
                <w:i w:val="0"/>
                <w:color w:val="262626"/>
                <w:sz w:val="17"/>
              </w:rPr>
              <w:t>MLP deg-only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8" w:after="0"/>
              <w:ind w:left="0" w:right="6" w:firstLine="0"/>
              <w:jc w:val="righ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6" w:after="0"/>
              <w:ind w:left="0" w:right="0" w:firstLine="0"/>
              <w:jc w:val="center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1e6</w:t>
            </w:r>
          </w:p>
        </w:tc>
      </w:tr>
      <w:tr>
        <w:trPr>
          <w:trHeight w:hRule="exact" w:val="320"/>
        </w:trPr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1074" w:firstLine="0"/>
              <w:jc w:val="right"/>
            </w:pPr>
            <w:r>
              <w:rPr>
                <w:w w:val="102.09200117323134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0.8</w:t>
            </w:r>
          </w:p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102.09200598976828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Training Timesteps</w:t>
            </w:r>
          </w:p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  <w:tc>
          <w:tcPr>
            <w:tcW w:type="dxa" w:w="11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208" w:after="0"/>
        <w:ind w:left="14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 reward curves (rolling mean, window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with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±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band).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RecurrentPPO brady+deg policy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converges substantially more slowly than MLP policies, consistent with the higher sample complexity of learning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useful LSTM hidden state.</w:t>
      </w:r>
    </w:p>
    <w:p>
      <w:pPr>
        <w:autoSpaceDN w:val="0"/>
        <w:autoSpaceDE w:val="0"/>
        <w:widowControl/>
        <w:spacing w:line="198" w:lineRule="exact" w:before="672" w:after="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Bayesian optimisation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2.0000000000002" w:type="dxa"/>
      </w:tblPr>
      <w:tblGrid>
        <w:gridCol w:w="3134"/>
        <w:gridCol w:w="3134"/>
        <w:gridCol w:w="3134"/>
      </w:tblGrid>
      <w:tr>
        <w:trPr>
          <w:trHeight w:hRule="exact" w:val="324"/>
        </w:trPr>
        <w:tc>
          <w:tcPr>
            <w:tcW w:type="dxa" w:w="227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5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MLP</w:t>
            </w:r>
          </w:p>
        </w:tc>
        <w:tc>
          <w:tcPr>
            <w:tcW w:type="dxa" w:w="153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RecurrentPPO</w:t>
            </w:r>
          </w:p>
        </w:tc>
      </w:tr>
      <w:tr>
        <w:trPr>
          <w:trHeight w:hRule="exact" w:val="256"/>
        </w:trPr>
        <w:tc>
          <w:tcPr>
            <w:tcW w:type="dxa" w:w="227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Completed / pruned trials</w:t>
            </w:r>
          </w:p>
        </w:tc>
        <w:tc>
          <w:tcPr>
            <w:tcW w:type="dxa" w:w="15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13 / 7</w:t>
            </w:r>
          </w:p>
        </w:tc>
        <w:tc>
          <w:tcPr>
            <w:tcW w:type="dxa" w:w="153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11 / 9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Reward range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546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377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07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Mean reward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367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190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143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±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89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 learning rate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31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24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steps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512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4096</w:t>
            </w:r>
          </w:p>
        </w:tc>
      </w:tr>
      <w:tr>
        <w:trPr>
          <w:trHeight w:hRule="exact" w:val="20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 batch size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256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 entropy coef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01641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96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10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γ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9986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9835</w:t>
            </w:r>
          </w:p>
        </w:tc>
      </w:tr>
      <w:tr>
        <w:trPr>
          <w:trHeight w:hRule="exact" w:val="296"/>
        </w:trPr>
        <w:tc>
          <w:tcPr>
            <w:tcW w:type="dxa" w:w="227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Best clip range</w:t>
            </w:r>
          </w:p>
        </w:tc>
        <w:tc>
          <w:tcPr>
            <w:tcW w:type="dxa" w:w="15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2320</w:t>
            </w:r>
          </w:p>
        </w:tc>
        <w:tc>
          <w:tcPr>
            <w:tcW w:type="dxa" w:w="153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2320</w:t>
            </w:r>
          </w:p>
        </w:tc>
      </w:tr>
    </w:tbl>
    <w:p>
      <w:pPr>
        <w:autoSpaceDN w:val="0"/>
        <w:autoSpaceDE w:val="0"/>
        <w:widowControl/>
        <w:spacing w:line="200" w:lineRule="exact" w:before="72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 reward curves for all policies are shown in Figure 3.</w:t>
      </w:r>
    </w:p>
    <w:p>
      <w:pPr>
        <w:autoSpaceDN w:val="0"/>
        <w:tabs>
          <w:tab w:pos="462" w:val="left"/>
        </w:tabs>
        <w:autoSpaceDE w:val="0"/>
        <w:widowControl/>
        <w:spacing w:line="198" w:lineRule="exact" w:before="598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4.4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Hyperparameter Optimisation</w:t>
      </w:r>
    </w:p>
    <w:p>
      <w:pPr>
        <w:autoSpaceDN w:val="0"/>
        <w:autoSpaceDE w:val="0"/>
        <w:widowControl/>
        <w:spacing w:line="218" w:lineRule="exact" w:before="308" w:after="0"/>
        <w:ind w:left="0" w:right="28" w:firstLine="0"/>
        <w:jc w:val="both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Hyperparameters were selected through Bayesian optimisation using Optuna [Akiba et al., 2019] with a Tree-structured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Parzen Estimator (TPE) sampler and a MedianPruner (5 startup trials, 2 warmup steps).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Two studies were run—one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the MLP baseline and one for RecurrentPPO—each comprising 20 trials of 75 000 timesteps with a deterministic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10-episode evaluation to score each trial.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best configurations and study statistics are summarised in Table 1.</w:t>
      </w:r>
    </w:p>
    <w:p>
      <w:pPr>
        <w:autoSpaceDN w:val="0"/>
        <w:autoSpaceDE w:val="0"/>
        <w:widowControl/>
        <w:spacing w:line="200" w:lineRule="exact" w:before="128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 training was conducted on a Lenovo PC with 16 GB RAM and GPU acceleration.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6</w:t>
      </w:r>
    </w:p>
    <w:p>
      <w:pPr>
        <w:sectPr>
          <w:pgSz w:w="12240" w:h="15840"/>
          <w:pgMar w:top="322" w:right="1412" w:bottom="39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30" w:lineRule="auto" w:before="432" w:after="30"/>
        <w:ind w:left="0" w:right="1006" w:firstLine="0"/>
        <w:jc w:val="right"/>
      </w:pPr>
      <w:r>
        <w:rPr>
          <w:w w:val="98.09230657724234"/>
          <w:rFonts w:ascii="Times New Roman" w:hAnsi="Times New Roman" w:eastAsia="Times New Roman"/>
          <w:b w:val="0"/>
          <w:i w:val="0"/>
          <w:color w:val="262626"/>
          <w:sz w:val="26"/>
        </w:rPr>
        <w:t>Per-Step Inference Latency vs. Real-Time Budget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4904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2" w:after="0"/>
              <w:ind w:left="0" w:right="18" w:firstLine="0"/>
              <w:jc w:val="righ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Brady+Deg MLP</w:t>
            </w:r>
          </w:p>
          <w:p>
            <w:pPr>
              <w:autoSpaceDN w:val="0"/>
              <w:autoSpaceDE w:val="0"/>
              <w:widowControl/>
              <w:spacing w:line="233" w:lineRule="auto" w:before="556" w:after="0"/>
              <w:ind w:left="0" w:right="18" w:firstLine="0"/>
              <w:jc w:val="righ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Healthy MLP</w:t>
            </w:r>
          </w:p>
          <w:p>
            <w:pPr>
              <w:autoSpaceDN w:val="0"/>
              <w:autoSpaceDE w:val="0"/>
              <w:widowControl/>
              <w:spacing w:line="233" w:lineRule="auto" w:before="556" w:after="0"/>
              <w:ind w:left="0" w:right="18" w:firstLine="0"/>
              <w:jc w:val="righ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Deg-only MLP</w:t>
            </w:r>
          </w:p>
          <w:p>
            <w:pPr>
              <w:autoSpaceDN w:val="0"/>
              <w:autoSpaceDE w:val="0"/>
              <w:widowControl/>
              <w:spacing w:line="230" w:lineRule="auto" w:before="55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Brady+Deg Recurrent (Noisy)</w:t>
            </w:r>
          </w:p>
          <w:p>
            <w:pPr>
              <w:autoSpaceDN w:val="0"/>
              <w:autoSpaceDE w:val="0"/>
              <w:widowControl/>
              <w:spacing w:line="230" w:lineRule="auto" w:before="558" w:after="0"/>
              <w:ind w:left="358" w:right="0" w:firstLine="0"/>
              <w:jc w:val="lef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Brady+Deg RecurrentPPO</w:t>
            </w:r>
          </w:p>
          <w:p>
            <w:pPr>
              <w:autoSpaceDN w:val="0"/>
              <w:autoSpaceDE w:val="0"/>
              <w:widowControl/>
              <w:spacing w:line="230" w:lineRule="auto" w:before="558" w:after="0"/>
              <w:ind w:left="522" w:right="0" w:firstLine="0"/>
              <w:jc w:val="lef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Deg-only RecurrentPPO</w:t>
            </w:r>
          </w:p>
        </w:tc>
        <w:tc>
          <w:tcPr>
            <w:tcW w:type="dxa" w:w="69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</w:tblGrid>
            <w:tr>
              <w:trPr>
                <w:trHeight w:hRule="exact" w:val="524"/>
              </w:trPr>
              <w:tc>
                <w:tcPr>
                  <w:tcW w:type="dxa" w:w="812"/>
                  <w:gridSpan w:val="6"/>
                  <w:tcBorders>
                    <w:start w:sz="8.161279678344727" w:val="single" w:color="#CBCCCB"/>
                    <w:top w:sz="8.161279678344727" w:val="single" w:color="#CBCCCB"/>
                    <w:end w:sz="6.52902364730835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tcBorders>
                    <w:start w:sz="6.52902364730835" w:val="single" w:color="#CBCCCB"/>
                    <w:top w:sz="8.161279678344727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8.161279678344727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0" w:right="0" w:firstLine="0"/>
                    <w:jc w:val="center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 xml:space="preserve"> (10 ms)</w:t>
                  </w:r>
                </w:p>
              </w:tc>
              <w:tc>
                <w:tcPr>
                  <w:tcW w:type="dxa" w:w="806"/>
                  <w:tcBorders>
                    <w:top w:sz="8.161279678344727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8.161279678344727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8.161279678344727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start w:sz="6.52902364730835" w:val="single" w:color="#CBCCCB"/>
                    <w:top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0" w:right="0" w:firstLine="0"/>
                    <w:jc w:val="center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 xml:space="preserve"> (20 ms)</w:t>
                  </w:r>
                </w:p>
              </w:tc>
              <w:tc>
                <w:tcPr>
                  <w:tcW w:type="dxa" w:w="322"/>
                  <w:tcBorders>
                    <w:top w:sz="8.161279678344727" w:val="single" w:color="#CBCCCB"/>
                    <w:end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0"/>
              </w:trPr>
              <w:tc>
                <w:tcPr>
                  <w:tcW w:type="dxa" w:w="812"/>
                  <w:gridSpan w:val="6"/>
                  <w:tcBorders>
                    <w:start w:sz="8.161279678344727" w:val="single" w:color="#CBCCCB"/>
                    <w:end w:sz="6.52902364730835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0" w:right="0" w:firstLine="0"/>
                    <w:jc w:val="center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>ntrol period</w:t>
                  </w:r>
                </w:p>
              </w:tc>
              <w:tc>
                <w:tcPr>
                  <w:tcW w:type="dxa" w:w="806"/>
                  <w:tcBorders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0" w:right="0" w:firstLine="0"/>
                    <w:jc w:val="center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>ntrol period</w:t>
                  </w:r>
                </w:p>
              </w:tc>
              <w:tc>
                <w:tcPr>
                  <w:tcW w:type="dxa" w:w="322"/>
                  <w:tcBorders>
                    <w:top w:sz="6.52902364730835" w:val="single" w:color="#CBCCCB"/>
                    <w:end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0"/>
              </w:trPr>
              <w:tc>
                <w:tcPr>
                  <w:tcW w:type="dxa" w:w="812"/>
                  <w:gridSpan w:val="6"/>
                  <w:tcBorders>
                    <w:start w:sz="8.161279678344727" w:val="single" w:color="#CBCCCB"/>
                    <w:end w:sz="6.52902364730835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100" w:right="0" w:firstLine="0"/>
                    <w:jc w:val="left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>Min exo co</w:t>
                  </w:r>
                </w:p>
              </w:tc>
              <w:tc>
                <w:tcPr>
                  <w:tcW w:type="dxa" w:w="806"/>
                  <w:tcBorders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4" w:after="0"/>
                    <w:ind w:left="74" w:right="0" w:firstLine="0"/>
                    <w:jc w:val="left"/>
                  </w:pPr>
                  <w:r>
                    <w:rPr>
                      <w:w w:val="96.91519737243652"/>
                      <w:rFonts w:ascii="Times New Roman" w:hAnsi="Times New Roman" w:eastAsia="Times New Roman"/>
                      <w:b w:val="0"/>
                      <w:i/>
                      <w:color w:val="000000"/>
                      <w:sz w:val="16"/>
                    </w:rPr>
                    <w:t>Max exo co</w:t>
                  </w:r>
                </w:p>
              </w:tc>
              <w:tc>
                <w:tcPr>
                  <w:tcW w:type="dxa" w:w="322"/>
                  <w:tcBorders>
                    <w:top w:sz="6.52902364730835" w:val="single" w:color="#CBCCCB"/>
                    <w:end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0"/>
              </w:trPr>
              <w:tc>
                <w:tcPr>
                  <w:tcW w:type="dxa" w:w="812"/>
                  <w:gridSpan w:val="6"/>
                  <w:tcBorders>
                    <w:start w:sz="8.161279678344727" w:val="single" w:color="#CBCCCB"/>
                    <w:end w:sz="6.52902364730835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top w:sz="6.52902364730835" w:val="single" w:color="#CBCCCB"/>
                    <w:end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0"/>
              </w:trPr>
              <w:tc>
                <w:tcPr>
                  <w:tcW w:type="dxa" w:w="812"/>
                  <w:gridSpan w:val="6"/>
                  <w:tcBorders>
                    <w:start w:sz="8.161279678344727" w:val="single" w:color="#CBCCCB"/>
                    <w:end w:sz="6.52902364730835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top w:sz="6.52902364730835" w:val="single" w:color="#CBCCCB"/>
                    <w:end w:sz="8.161279678344727" w:val="single" w:color="#CBCCCB"/>
                    <w:bottom w:sz="6.52902364730835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2"/>
              </w:trPr>
              <w:tc>
                <w:tcPr>
                  <w:tcW w:type="dxa" w:w="358"/>
                  <w:gridSpan w:val="6"/>
                  <w:vMerge w:val="restart"/>
                  <w:tcBorders>
                    <w:start w:sz="8.161279678344727" w:val="single" w:color="#CBCCCB"/>
                    <w:end w:sz="6.52902364730835" w:val="single" w:color="#CBCCCB"/>
                    <w:top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8"/>
                  <w:vMerge w:val="restart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vMerge w:val="restart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vMerge w:val="restart"/>
                  <w:tcBorders>
                    <w:start w:sz="6.52902364730835" w:val="single" w:color="#CBCCCB"/>
                    <w:top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6"/>
                  <w:vMerge w:val="restart"/>
                  <w:tcBorders>
                    <w:top w:sz="6.52902364730835" w:val="single" w:color="#CBCCCB"/>
                    <w:end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vMerge w:val="restart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4"/>
                  <w:vMerge w:val="restart"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288" w:right="0" w:firstLine="0"/>
                    <w:jc w:val="center"/>
                  </w:pPr>
                  <w:r>
                    <w:rPr>
                      <w:w w:val="102.01599597930908"/>
                      <w:rFonts w:ascii="Times New Roman" w:hAnsi="Times New Roman" w:eastAsia="Times New Roman"/>
                      <w:b w:val="0"/>
                      <w:i w:val="0"/>
                      <w:color w:val="262626"/>
                      <w:sz w:val="16"/>
                    </w:rPr>
                    <w:t xml:space="preserve">MLP </w:t>
                  </w:r>
                  <w:r>
                    <w:br/>
                  </w:r>
                  <w:r>
                    <w:rPr>
                      <w:w w:val="102.01599597930908"/>
                      <w:rFonts w:ascii="Times New Roman" w:hAnsi="Times New Roman" w:eastAsia="Times New Roman"/>
                      <w:b w:val="0"/>
                      <w:i w:val="0"/>
                      <w:color w:val="262626"/>
                      <w:sz w:val="16"/>
                    </w:rPr>
                    <w:t>Noisy</w:t>
                  </w:r>
                </w:p>
              </w:tc>
              <w:tc>
                <w:tcPr>
                  <w:tcW w:type="dxa" w:w="806"/>
                  <w:vMerge w:val="restart"/>
                  <w:tcBorders>
                    <w:start w:sz="6.52902364730835" w:val="single" w:color="#CBCCCB"/>
                    <w:top w:sz="6.52902364730835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90" w:after="0"/>
                    <w:ind w:left="0" w:right="0" w:firstLine="0"/>
                    <w:jc w:val="center"/>
                  </w:pPr>
                  <w:r>
                    <w:rPr>
                      <w:w w:val="102.01599597930908"/>
                      <w:rFonts w:ascii="Times New Roman" w:hAnsi="Times New Roman" w:eastAsia="Times New Roman"/>
                      <w:b w:val="0"/>
                      <w:i w:val="0"/>
                      <w:color w:val="262626"/>
                      <w:sz w:val="16"/>
                    </w:rPr>
                    <w:t xml:space="preserve"> RecurrentP</w:t>
                  </w:r>
                </w:p>
              </w:tc>
              <w:tc>
                <w:tcPr>
                  <w:tcW w:type="dxa" w:w="322"/>
                  <w:vMerge w:val="restart"/>
                  <w:tcBorders>
                    <w:top w:sz="6.52902364730835" w:val="single" w:color="#CBCCCB"/>
                    <w:end w:sz="8.161279678344727" w:val="single" w:color="#CBCCCB"/>
                    <w:bottom w:sz="8.161279678344727" w:val="single" w:color="#CBCCC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90" w:after="0"/>
                    <w:ind w:left="0" w:right="0" w:firstLine="0"/>
                    <w:jc w:val="left"/>
                  </w:pPr>
                  <w:r>
                    <w:rPr>
                      <w:w w:val="102.01599597930908"/>
                      <w:rFonts w:ascii="Times New Roman" w:hAnsi="Times New Roman" w:eastAsia="Times New Roman"/>
                      <w:b w:val="0"/>
                      <w:i w:val="0"/>
                      <w:color w:val="262626"/>
                      <w:sz w:val="16"/>
                    </w:rPr>
                    <w:t>PO</w:t>
                  </w:r>
                </w:p>
              </w:tc>
            </w:tr>
            <w:tr>
              <w:trPr>
                <w:trHeight w:hRule="exact" w:val="34"/>
              </w:trPr>
              <w:tc>
                <w:tcPr>
                  <w:tcW w:type="dxa" w:w="2958"/>
                  <w:gridSpan w:val="6"/>
                  <w:vMerge/>
                  <w:tcBorders>
                    <w:start w:sz="8.161279678344727" w:val="single" w:color="#CBCCCB"/>
                    <w:end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end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start w:sz="6.52902364730835" w:val="single" w:color="#CBCCCB"/>
                    <w:top w:sz="6.52902364730835" w:val="single" w:color="#CBCCCB"/>
                    <w:bottom w:sz="6.52902364730835" w:val="single" w:color="#CBCCCB"/>
                  </w:tcBorders>
                </w:tcPr>
                <w:p/>
              </w:tc>
              <w:tc>
                <w:tcPr>
                  <w:tcW w:type="dxa" w:w="493"/>
                  <w:vMerge/>
                  <w:tcBorders>
                    <w:top w:sz="6.52902364730835" w:val="single" w:color="#CBCCCB"/>
                    <w:end w:sz="8.161279678344727" w:val="single" w:color="#CBCCCB"/>
                    <w:bottom w:sz="6.52902364730835" w:val="single" w:color="#CBCCCB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8"/>
        </w:trPr>
        <w:tc>
          <w:tcPr>
            <w:tcW w:type="dxa" w:w="2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72" w:firstLine="0"/>
              <w:jc w:val="right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2.5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5.0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7.5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10.0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12.5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15.0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17.5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w w:val="102.0159933302137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20.0</w:t>
            </w:r>
          </w:p>
        </w:tc>
      </w:tr>
    </w:tbl>
    <w:p>
      <w:pPr>
        <w:autoSpaceDN w:val="0"/>
        <w:autoSpaceDE w:val="0"/>
        <w:widowControl/>
        <w:spacing w:line="233" w:lineRule="auto" w:before="18" w:after="0"/>
        <w:ind w:left="0" w:right="2220" w:firstLine="0"/>
        <w:jc w:val="right"/>
      </w:pPr>
      <w:r>
        <w:rPr>
          <w:w w:val="102.0159981467507"/>
          <w:rFonts w:ascii="Times New Roman" w:hAnsi="Times New Roman" w:eastAsia="Times New Roman"/>
          <w:b w:val="0"/>
          <w:i w:val="0"/>
          <w:color w:val="262626"/>
          <w:sz w:val="22"/>
        </w:rPr>
        <w:t>Mean Inference Latency (ms)</w:t>
      </w:r>
    </w:p>
    <w:p>
      <w:pPr>
        <w:autoSpaceDN w:val="0"/>
        <w:autoSpaceDE w:val="0"/>
        <w:widowControl/>
        <w:spacing w:line="216" w:lineRule="exact" w:before="272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Per-step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(mean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std)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Vertical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lines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mark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10–20 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exoskeleton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real-time control budget; all policies run well within budget.</w:t>
      </w:r>
    </w:p>
    <w:p>
      <w:pPr>
        <w:autoSpaceDN w:val="0"/>
        <w:autoSpaceDE w:val="0"/>
        <w:widowControl/>
        <w:spacing w:line="200" w:lineRule="exact" w:before="448" w:after="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 latency across architectures (ms).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>
        <w:trPr>
          <w:trHeight w:hRule="exact" w:val="304"/>
        </w:trPr>
        <w:tc>
          <w:tcPr>
            <w:tcW w:type="dxa" w:w="3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8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6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Mean</w:t>
            </w:r>
          </w:p>
        </w:tc>
        <w:tc>
          <w:tcPr>
            <w:tcW w:type="dxa" w:w="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Std</w:t>
            </w:r>
          </w:p>
        </w:tc>
        <w:tc>
          <w:tcPr>
            <w:tcW w:type="dxa" w:w="6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Min</w:t>
            </w:r>
          </w:p>
        </w:tc>
        <w:tc>
          <w:tcPr>
            <w:tcW w:type="dxa" w:w="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p5</w:t>
            </w:r>
          </w:p>
        </w:tc>
        <w:tc>
          <w:tcPr>
            <w:tcW w:type="dxa" w:w="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2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p50</w:t>
            </w:r>
          </w:p>
        </w:tc>
        <w:tc>
          <w:tcPr>
            <w:tcW w:type="dxa" w:w="6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p99</w:t>
            </w:r>
          </w:p>
        </w:tc>
        <w:tc>
          <w:tcPr>
            <w:tcW w:type="dxa" w:w="6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Max</w:t>
            </w:r>
          </w:p>
        </w:tc>
      </w:tr>
      <w:tr>
        <w:trPr>
          <w:trHeight w:hRule="exact" w:val="252"/>
        </w:trPr>
        <w:tc>
          <w:tcPr>
            <w:tcW w:type="dxa" w:w="360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6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Healthy MLP</w:t>
            </w:r>
          </w:p>
        </w:tc>
        <w:tc>
          <w:tcPr>
            <w:tcW w:type="dxa" w:w="6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1.267</w:t>
            </w:r>
          </w:p>
        </w:tc>
        <w:tc>
          <w:tcPr>
            <w:tcW w:type="dxa" w:w="6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0.405</w:t>
            </w:r>
          </w:p>
        </w:tc>
        <w:tc>
          <w:tcPr>
            <w:tcW w:type="dxa" w:w="6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0.840</w:t>
            </w:r>
          </w:p>
        </w:tc>
        <w:tc>
          <w:tcPr>
            <w:tcW w:type="dxa" w:w="6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0.896</w:t>
            </w:r>
          </w:p>
        </w:tc>
        <w:tc>
          <w:tcPr>
            <w:tcW w:type="dxa" w:w="6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1.090</w:t>
            </w:r>
          </w:p>
        </w:tc>
        <w:tc>
          <w:tcPr>
            <w:tcW w:type="dxa" w:w="6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2.414</w:t>
            </w:r>
          </w:p>
        </w:tc>
        <w:tc>
          <w:tcPr>
            <w:tcW w:type="dxa" w:w="6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2.799</w:t>
            </w:r>
          </w:p>
        </w:tc>
      </w:tr>
      <w:tr>
        <w:trPr>
          <w:trHeight w:hRule="exact" w:val="200"/>
        </w:trPr>
        <w:tc>
          <w:tcPr>
            <w:tcW w:type="dxa" w:w="1044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Brady+Deg MLP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1.017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0.302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0.807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0.827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0.902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2.412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2.704</w:t>
            </w:r>
          </w:p>
        </w:tc>
      </w:tr>
      <w:tr>
        <w:trPr>
          <w:trHeight w:hRule="exact" w:val="200"/>
        </w:trPr>
        <w:tc>
          <w:tcPr>
            <w:tcW w:type="dxa" w:w="1044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5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Deg-only MLP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1.056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0.335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0.808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0.832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0.913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2.252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3.275</w:t>
            </w:r>
          </w:p>
        </w:tc>
      </w:tr>
      <w:tr>
        <w:trPr>
          <w:trHeight w:hRule="exact" w:val="200"/>
        </w:trPr>
        <w:tc>
          <w:tcPr>
            <w:tcW w:type="dxa" w:w="1044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Brady+Deg RecPPO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1.930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0.560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1.448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1.488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1.686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3.714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5.310</w:t>
            </w:r>
          </w:p>
        </w:tc>
      </w:tr>
      <w:tr>
        <w:trPr>
          <w:trHeight w:hRule="exact" w:val="200"/>
        </w:trPr>
        <w:tc>
          <w:tcPr>
            <w:tcW w:type="dxa" w:w="1044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Noisy RecPPO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1.851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0.458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1.447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1.479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1.666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3.387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4.110</w:t>
            </w:r>
          </w:p>
        </w:tc>
      </w:tr>
      <w:tr>
        <w:trPr>
          <w:trHeight w:hRule="exact" w:val="252"/>
        </w:trPr>
        <w:tc>
          <w:tcPr>
            <w:tcW w:type="dxa" w:w="1044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  <w:tc>
          <w:tcPr>
            <w:tcW w:type="dxa" w:w="29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Deg-only RecPPO</w:t>
            </w:r>
          </w:p>
        </w:tc>
        <w:tc>
          <w:tcPr>
            <w:tcW w:type="dxa" w:w="6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1.974</w:t>
            </w:r>
          </w:p>
        </w:tc>
        <w:tc>
          <w:tcPr>
            <w:tcW w:type="dxa" w:w="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0.555</w:t>
            </w:r>
          </w:p>
        </w:tc>
        <w:tc>
          <w:tcPr>
            <w:tcW w:type="dxa" w:w="6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1.454</w:t>
            </w:r>
          </w:p>
        </w:tc>
        <w:tc>
          <w:tcPr>
            <w:tcW w:type="dxa" w:w="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1.495</w:t>
            </w:r>
          </w:p>
        </w:tc>
        <w:tc>
          <w:tcPr>
            <w:tcW w:type="dxa" w:w="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1.752</w:t>
            </w:r>
          </w:p>
        </w:tc>
        <w:tc>
          <w:tcPr>
            <w:tcW w:type="dxa" w:w="6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3.960</w:t>
            </w:r>
          </w:p>
        </w:tc>
        <w:tc>
          <w:tcPr>
            <w:tcW w:type="dxa" w:w="6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4.887</w:t>
            </w:r>
          </w:p>
        </w:tc>
      </w:tr>
      <w:tr>
        <w:trPr>
          <w:trHeight w:hRule="exact" w:val="762"/>
        </w:trPr>
        <w:tc>
          <w:tcPr>
            <w:tcW w:type="dxa" w:w="36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296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6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Inference Latency</w:t>
            </w:r>
          </w:p>
        </w:tc>
        <w:tc>
          <w:tcPr>
            <w:tcW w:type="dxa" w:w="68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138" w:after="0"/>
        <w:ind w:left="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measured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architectures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1 000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timed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forward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shown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latency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930 ms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(p99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714 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worst-case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310 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)—well below the 10–20 ms control period of typical upper-limb exoskeleton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platforms [Supriyono et al., 2025].</w:t>
      </w:r>
    </w:p>
    <w:p>
      <w:pPr>
        <w:autoSpaceDN w:val="0"/>
        <w:tabs>
          <w:tab w:pos="366" w:val="left"/>
        </w:tabs>
        <w:autoSpaceDE w:val="0"/>
        <w:widowControl/>
        <w:spacing w:line="238" w:lineRule="exact" w:before="394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Experiments and Results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28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Evaluation Methodology</w:t>
      </w:r>
    </w:p>
    <w:p>
      <w:pPr>
        <w:autoSpaceDN w:val="0"/>
        <w:autoSpaceDE w:val="0"/>
        <w:widowControl/>
        <w:spacing w:line="218" w:lineRule="exact" w:before="206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Each policy was evaluated on the same shared set of 4 000 episode configurations.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Episodes were stratified across four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severity quartiles (Q1 mild–Q4 severe) and four radian-travelled bins reflecting the actual distance the elbow moved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 the episode: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(39.2%),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(29.2%),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(20.6%),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5+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rad (11.0%), with 250 episodes per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pairing.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every episode, three tracks ran on identical configurations: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healthy elbow baseline, an impaired patient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no exoskeleton assistance, and the impaired patient with exoskeleton assistance.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322" w:right="141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1451610</wp:posOffset>
            </wp:positionH>
            <wp:positionV relativeFrom="page">
              <wp:posOffset>1499870</wp:posOffset>
            </wp:positionV>
            <wp:extent cx="2184400" cy="20195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0195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4027170</wp:posOffset>
            </wp:positionH>
            <wp:positionV relativeFrom="page">
              <wp:posOffset>1499870</wp:posOffset>
            </wp:positionV>
            <wp:extent cx="2185669" cy="202071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5669" cy="20207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30" w:lineRule="auto" w:before="416" w:after="56"/>
        <w:ind w:left="0" w:right="0" w:firstLine="0"/>
        <w:jc w:val="center"/>
      </w:pPr>
      <w:r>
        <w:rPr>
          <w:w w:val="98.37818145751953"/>
          <w:rFonts w:ascii="Times New Roman" w:hAnsi="Times New Roman" w:eastAsia="Times New Roman"/>
          <w:b w:val="0"/>
          <w:i w:val="0"/>
          <w:color w:val="262626"/>
          <w:sz w:val="22"/>
        </w:rPr>
        <w:t>Trajectory Tracking (Pearson r): Angle × Severity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rPr>
          <w:trHeight w:hRule="exact" w:val="244"/>
        </w:trPr>
        <w:tc>
          <w:tcPr>
            <w:tcW w:type="dxa" w:w="26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Target Angle Bin (rad)</w:t>
            </w:r>
          </w:p>
        </w:tc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0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0.0–0.5</w:t>
            </w:r>
          </w:p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Ours: RecurrentPPO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0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0.0–0.5</w:t>
            </w:r>
          </w:p>
        </w:tc>
        <w:tc>
          <w:tcPr>
            <w:tcW w:type="dxa" w:w="3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Baseline: RecurrentPPO (deg-only)</w:t>
            </w:r>
          </w:p>
        </w:tc>
        <w:tc>
          <w:tcPr>
            <w:tcW w:type="dxa" w:w="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4619" cy="20180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9" cy="2018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2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1.0</w:t>
            </w:r>
          </w:p>
        </w:tc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Mean Pearson r</w:t>
            </w:r>
          </w:p>
        </w:tc>
      </w:tr>
      <w:tr>
        <w:trPr>
          <w:trHeight w:hRule="exact" w:val="232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(combined brady+deg)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3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current state-of-the-art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354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3540"/>
            </w:tblGrid>
            <w:tr>
              <w:trPr>
                <w:trHeight w:hRule="exact" w:val="3160"/>
              </w:trPr>
              <w:tc>
                <w:tcPr>
                  <w:tcW w:type="dxa" w:w="3440"/>
                  <w:tcBorders>
                    <w:start w:sz="7.214399814605713" w:val="single" w:color="#CBCCCB"/>
                    <w:top w:sz="7.214399814605713" w:val="single" w:color="#CBCCCB"/>
                    <w:end w:sz="7.214399814605713" w:val="single" w:color="#CBCCCB"/>
                    <w:bottom w:sz="7.21439981460571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5.99999999999994" w:type="dxa"/>
                  </w:tblPr>
                  <w:tblGrid>
                    <w:gridCol w:w="860"/>
                    <w:gridCol w:w="860"/>
                    <w:gridCol w:w="860"/>
                    <w:gridCol w:w="860"/>
                  </w:tblGrid>
                  <w:tr>
                    <w:trPr>
                      <w:trHeight w:hRule="exact" w:val="544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154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0.49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144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0.31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154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0.73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144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0.38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154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0.79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144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rPr>
                      <w:trHeight w:hRule="exact" w:val="54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154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0.83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0.68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144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358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3580"/>
            </w:tblGrid>
            <w:tr>
              <w:trPr>
                <w:trHeight w:hRule="exact" w:val="3160"/>
              </w:trPr>
              <w:tc>
                <w:tcPr>
                  <w:tcW w:type="dxa" w:w="3438"/>
                  <w:tcBorders>
                    <w:start w:sz="7.214399814605713" w:val="single" w:color="#CBCCCB"/>
                    <w:top w:sz="7.214399814605713" w:val="single" w:color="#CBCCCB"/>
                    <w:end w:sz="7.214399814605713" w:val="single" w:color="#CBCCCB"/>
                    <w:bottom w:sz="7.21439981460571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6.00000000000023" w:type="dxa"/>
                  </w:tblPr>
                  <w:tblGrid>
                    <w:gridCol w:w="859"/>
                    <w:gridCol w:w="859"/>
                    <w:gridCol w:w="859"/>
                    <w:gridCol w:w="859"/>
                  </w:tblGrid>
                  <w:tr>
                    <w:trPr>
                      <w:trHeight w:hRule="exact" w:val="544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150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60" w:after="0"/>
                          <w:ind w:left="0" w:right="130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0.11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150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10" w:after="0"/>
                          <w:ind w:left="0" w:right="126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0.06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150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0.74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6" w:after="0"/>
                          <w:ind w:left="0" w:right="126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0.43</w:t>
                        </w:r>
                      </w:p>
                    </w:tc>
                  </w:tr>
                  <w:tr>
                    <w:trPr>
                      <w:trHeight w:hRule="exact" w:val="540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150" w:right="0" w:firstLine="0"/>
                          <w:jc w:val="lef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320" w:after="0"/>
                          <w:ind w:left="0" w:right="126" w:firstLine="0"/>
                          <w:jc w:val="right"/>
                        </w:pPr>
                        <w:r>
                          <w:rPr>
                            <w:w w:val="101.45249366760254"/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16"/>
                          </w:rPr>
                          <w:t>0.56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673"/>
            <w:vMerge/>
            <w:tcBorders/>
          </w:tcPr>
          <w:p/>
        </w:tc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18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0.5–1.0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18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0.5–1.0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0.8</w:t>
            </w:r>
          </w:p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</w:t>
            </w:r>
          </w:p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673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2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1.0–1.5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2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1.0–1.5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4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0.4</w:t>
            </w:r>
          </w:p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673"/>
            <w:vMerge/>
            <w:tcBorders/>
          </w:tcPr>
          <w:p/>
        </w:tc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8" w:after="0"/>
              <w:ind w:left="0" w:right="18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1.5+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8" w:after="0"/>
              <w:ind w:left="0" w:right="20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1.5+</w:t>
            </w:r>
          </w:p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0.2</w:t>
            </w:r>
          </w:p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92"/>
            <w:gridSpan w:val="4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0.0</w:t>
            </w:r>
          </w:p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Q1 (Mild)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36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Q2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98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Q3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4" w:right="0" w:firstLine="0"/>
              <w:jc w:val="lef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Q4 (Severe)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Q1 (Mild)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40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Q2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00" w:firstLine="0"/>
              <w:jc w:val="right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Q3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w w:val="103.06285449436731"/>
                <w:rFonts w:ascii="Times New Roman" w:hAnsi="Times New Roman" w:eastAsia="Times New Roman"/>
                <w:b w:val="0"/>
                <w:i w:val="0"/>
                <w:color w:val="262626"/>
                <w:sz w:val="14"/>
              </w:rPr>
              <w:t>Q4 (Severe)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Severity Quartile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35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w w:val="101.45249366760254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Severity Quartile</w:t>
            </w:r>
          </w:p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  <w:tc>
          <w:tcPr>
            <w:tcW w:type="dxa" w:w="6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92" w:after="0"/>
        <w:ind w:left="8" w:right="6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5: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 Pearson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across target-angle bins (rows) and severity quartiles (columns) for our combined-trained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RecurrentPPO (</w:t>
      </w:r>
      <w:r>
        <w:rPr>
          <w:w w:val="98.62470626831055"/>
          <w:rFonts w:ascii="NimbusRomNo9L" w:hAnsi="NimbusRomNo9L" w:eastAsia="NimbusRomNo9L"/>
          <w:b/>
          <w:i w:val="0"/>
          <w:color w:val="000000"/>
          <w:sz w:val="20"/>
        </w:rPr>
        <w:t>left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 versus the degeneration-only policy that represents the current state of the art (</w:t>
      </w:r>
      <w:r>
        <w:rPr>
          <w:w w:val="98.62470626831055"/>
          <w:rFonts w:ascii="NimbusRomNo9L" w:hAnsi="NimbusRomNo9L" w:eastAsia="NimbusRomNo9L"/>
          <w:b/>
          <w:i w:val="0"/>
          <w:color w:val="000000"/>
          <w:sz w:val="20"/>
        </w:rPr>
        <w:t>right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Both degrade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toward Q4 severe and toward small movements (short LSTM context window), but the combined-trained policy retains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substantially higher correlation across the grid.</w:t>
      </w:r>
    </w:p>
    <w:p>
      <w:pPr>
        <w:autoSpaceDN w:val="0"/>
        <w:autoSpaceDE w:val="0"/>
        <w:widowControl/>
        <w:spacing w:line="218" w:lineRule="exact" w:before="450" w:after="0"/>
        <w:ind w:left="8" w:right="44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primary metric is the Pearson correlation coefficient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between the exoskeleton-assisted trajectory and the healthy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baseline trajectory over the episode.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healthy trajectory represents what the patient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intended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 do; PD breaks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link between intention and execution.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means the assisted movement is indistinguishable from healthy movement; 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means no relationship; negative values indicate the assisted movement opposes the intended trajectory.</w:t>
      </w:r>
    </w:p>
    <w:p>
      <w:pPr>
        <w:autoSpaceDN w:val="0"/>
        <w:autoSpaceDE w:val="0"/>
        <w:widowControl/>
        <w:spacing w:line="218" w:lineRule="exact" w:before="110" w:after="0"/>
        <w:ind w:left="8" w:right="5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Goal achievement rate—the fraction of episodes in which the target angle was reached—is reported as a secondary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metric.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Mean episodic reward is reported for all policy comparisons.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policies were trained to maximise the same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MyoSuite pose-error reward.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29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Movement Restoration Performance</w:t>
      </w:r>
    </w:p>
    <w:p>
      <w:pPr>
        <w:autoSpaceDN w:val="0"/>
        <w:autoSpaceDE w:val="0"/>
        <w:widowControl/>
        <w:spacing w:line="218" w:lineRule="exact" w:before="184" w:after="0"/>
        <w:ind w:left="8" w:right="0" w:hanging="6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primary policy—RecurrentPPO trained on combined PD impairments—achieved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494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(std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317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and a goal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across 4 000 stratified episodes.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Relative to the no-exoskeleton baseline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goal rate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65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exoskeleton improved trajectory match 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271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goal achievement 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percentage points.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Mean reward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improved 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97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37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499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110" w:after="0"/>
        <w:ind w:left="0" w:right="0" w:firstLine="8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Performance degraded predictably across severity quartiles: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654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at Q1,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522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at Q2,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417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at Q3,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at Q4, 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with goal rates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95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4%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7%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>,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76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4%</w:t>
      </w:r>
      <w:r>
        <w:rPr>
          <w:w w:val="98.77554893493652"/>
          <w:rFonts w:ascii="NimbusRomNo9L" w:hAnsi="NimbusRomNo9L" w:eastAsia="NimbusRomNo9L"/>
          <w:b w:val="0"/>
          <w:i w:val="0"/>
          <w:color w:val="000000"/>
          <w:sz w:val="20"/>
        </w:rPr>
        <w:t xml:space="preserve"> respectively—consistent with the exoskeleton’s normalised torque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ceiling being insufficient to fully compensate at extreme impairment levels.</w:t>
      </w:r>
    </w:p>
    <w:p>
      <w:pPr>
        <w:autoSpaceDN w:val="0"/>
        <w:autoSpaceDE w:val="0"/>
        <w:widowControl/>
        <w:spacing w:line="218" w:lineRule="exact" w:before="110" w:after="0"/>
        <w:ind w:left="8" w:right="6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 also varied by radian travelled.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 match was lowest for smallest movements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373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0.0–0.5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rad bin, 39.2% of episodes) and highest for largest movements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667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1.5+ rad, 11.0%).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Larger movements give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LSTM more timesteps to accumulate temporal context, improving inference of intent and impairment severity.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0.0–0.5 rad bin—the most common and hardest—therefore disproportionately shapes the mean metric.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Figure 5 shows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full 4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 performance heatmap.</w:t>
      </w:r>
    </w:p>
    <w:p>
      <w:pPr>
        <w:autoSpaceDN w:val="0"/>
        <w:tabs>
          <w:tab w:pos="456" w:val="left"/>
        </w:tabs>
        <w:autoSpaceDE w:val="0"/>
        <w:widowControl/>
        <w:spacing w:line="198" w:lineRule="exact" w:before="29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5.3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Ablation 1: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RecurrentPPO vs. MLP</w:t>
      </w:r>
    </w:p>
    <w:p>
      <w:pPr>
        <w:autoSpaceDN w:val="0"/>
        <w:autoSpaceDE w:val="0"/>
        <w:widowControl/>
        <w:spacing w:line="218" w:lineRule="exact" w:before="18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 achieved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494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versus the MLP’s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439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on the same 4 000 configurations, a gap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Goal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rates were close (</w:t>
      </w:r>
      <w:r>
        <w:rPr>
          <w:rFonts w:ascii="CMR10" w:hAnsi="CMR10" w:eastAsia="CMR10"/>
          <w:b w:val="0"/>
          <w:i w:val="0"/>
          <w:color w:val="000000"/>
          <w:sz w:val="20"/>
        </w:rPr>
        <w:t>88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vs.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0%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), but RecurrentPPO produced higher mean reward (</w:t>
      </w:r>
      <w:r>
        <w:rPr>
          <w:rFonts w:ascii="CMR10" w:hAnsi="CMR10" w:eastAsia="CMR10"/>
          <w:b w:val="0"/>
          <w:i w:val="0"/>
          <w:color w:val="000000"/>
          <w:sz w:val="20"/>
        </w:rPr>
        <w:t>499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73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vs.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460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29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, gap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39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)—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indicating a smoother, more proportionate trajectory toward the goal rather than merely reaching the endpoint.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MLP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stabilised at 512 timesteps; RecurrentPPO continued varying through the full run, reflecting higher sample complexity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learning a useful hidden state.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6 compares the two architectures across severity quartiles: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8</w:t>
      </w:r>
    </w:p>
    <w:p>
      <w:pPr>
        <w:sectPr>
          <w:pgSz w:w="12240" w:h="15840"/>
          <w:pgMar w:top="322" w:right="1380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1193800</wp:posOffset>
            </wp:positionV>
            <wp:extent cx="5003800" cy="3111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11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1"/>
        <w:gridCol w:w="3141"/>
        <w:gridCol w:w="3141"/>
      </w:tblGrid>
      <w:tr>
        <w:trPr>
          <w:trHeight w:hRule="exact" w:val="246"/>
        </w:trPr>
        <w:tc>
          <w:tcPr>
            <w:tcW w:type="dxa" w:w="12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  <w:tr>
        <w:trPr>
          <w:trHeight w:hRule="exact" w:val="788"/>
        </w:trPr>
        <w:tc>
          <w:tcPr>
            <w:tcW w:type="dxa" w:w="124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8" w:after="0"/>
              <w:ind w:left="0" w:right="576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</w:t>
            </w:r>
          </w:p>
        </w:tc>
        <w:tc>
          <w:tcPr>
            <w:tcW w:type="dxa" w:w="7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600" w:right="0" w:firstLine="0"/>
              <w:jc w:val="left"/>
            </w:pPr>
            <w:r>
              <w:rPr>
                <w:w w:val="98.23269477257361"/>
                <w:rFonts w:ascii="Times New Roman" w:hAnsi="Times New Roman" w:eastAsia="Times New Roman"/>
                <w:b w:val="0"/>
                <w:i w:val="0"/>
                <w:color w:val="262626"/>
                <w:sz w:val="26"/>
              </w:rPr>
              <w:t>Ablation 1: RecurrentPPO vs. MLP across PD Severity</w:t>
            </w:r>
          </w:p>
        </w:tc>
        <w:tc>
          <w:tcPr>
            <w:tcW w:type="dxa" w:w="112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2" w:after="0"/>
              <w:ind w:left="0" w:right="0" w:firstLine="0"/>
              <w:jc w:val="center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700</w:t>
            </w:r>
          </w:p>
        </w:tc>
      </w:tr>
      <w:tr>
        <w:trPr>
          <w:trHeight w:hRule="exact" w:val="280"/>
        </w:trPr>
        <w:tc>
          <w:tcPr>
            <w:tcW w:type="dxa" w:w="314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RecurrentPPO brady+deg (r)</w:t>
            </w:r>
          </w:p>
        </w:tc>
        <w:tc>
          <w:tcPr>
            <w:tcW w:type="dxa" w:w="3141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141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7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MLP brady+deg (r)</w:t>
            </w:r>
          </w:p>
        </w:tc>
        <w:tc>
          <w:tcPr>
            <w:tcW w:type="dxa" w:w="3141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22" w:after="22"/>
        <w:ind w:left="0" w:right="964" w:firstLine="0"/>
        <w:jc w:val="right"/>
      </w:pPr>
      <w:r>
        <w:rPr>
          <w:rFonts w:ascii="Times New Roman" w:hAnsi="Times New Roman" w:eastAsia="Times New Roman"/>
          <w:b w:val="0"/>
          <w:i w:val="0"/>
          <w:color w:val="262626"/>
          <w:sz w:val="15"/>
        </w:rPr>
        <w:t>RecurrentPPO brady+deg (reward)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564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92" w:right="0" w:firstLine="0"/>
              <w:jc w:val="left"/>
            </w:pPr>
            <w:r>
              <w:rPr>
                <w:w w:val="102.1620056845925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Pearson r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0.8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3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MLP brady+deg (reward)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600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42" w:right="0" w:firstLine="0"/>
              <w:jc w:val="left"/>
            </w:pPr>
            <w:r>
              <w:rPr>
                <w:w w:val="102.1620056845925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Episodic Reward</w:t>
            </w:r>
          </w:p>
        </w:tc>
      </w:tr>
      <w:tr>
        <w:trPr>
          <w:trHeight w:hRule="exact" w:val="820"/>
        </w:trPr>
        <w:tc>
          <w:tcPr>
            <w:tcW w:type="dxa" w:w="1885"/>
            <w:vMerge/>
            <w:tcBorders/>
          </w:tcPr>
          <w:p/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0.6</w:t>
            </w:r>
          </w:p>
        </w:tc>
        <w:tc>
          <w:tcPr>
            <w:tcW w:type="dxa" w:w="188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500</w:t>
            </w:r>
          </w:p>
        </w:tc>
        <w:tc>
          <w:tcPr>
            <w:tcW w:type="dxa" w:w="1885"/>
            <w:vMerge/>
            <w:tcBorders/>
          </w:tcPr>
          <w:p/>
        </w:tc>
      </w:tr>
      <w:tr>
        <w:trPr>
          <w:trHeight w:hRule="exact" w:val="486"/>
        </w:trPr>
        <w:tc>
          <w:tcPr>
            <w:tcW w:type="dxa" w:w="1885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8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0.4</w:t>
            </w:r>
          </w:p>
        </w:tc>
        <w:tc>
          <w:tcPr>
            <w:tcW w:type="dxa" w:w="188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400</w:t>
            </w:r>
          </w:p>
        </w:tc>
        <w:tc>
          <w:tcPr>
            <w:tcW w:type="dxa" w:w="1885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1885"/>
            <w:vMerge/>
            <w:tcBorders/>
          </w:tcPr>
          <w:p/>
        </w:tc>
        <w:tc>
          <w:tcPr>
            <w:tcW w:type="dxa" w:w="1885"/>
            <w:vMerge/>
            <w:tcBorders/>
          </w:tcPr>
          <w:p/>
        </w:tc>
        <w:tc>
          <w:tcPr>
            <w:tcW w:type="dxa" w:w="188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2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300</w:t>
            </w:r>
          </w:p>
        </w:tc>
        <w:tc>
          <w:tcPr>
            <w:tcW w:type="dxa" w:w="188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885"/>
            <w:vMerge/>
            <w:tcBorders/>
          </w:tcPr>
          <w:p/>
        </w:tc>
        <w:tc>
          <w:tcPr>
            <w:tcW w:type="dxa" w:w="1885"/>
            <w:vMerge/>
            <w:tcBorders/>
          </w:tcPr>
          <w:p/>
        </w:tc>
        <w:tc>
          <w:tcPr>
            <w:tcW w:type="dxa" w:w="1885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6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200</w:t>
            </w:r>
          </w:p>
        </w:tc>
        <w:tc>
          <w:tcPr>
            <w:tcW w:type="dxa" w:w="18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60" w:after="0"/>
        <w:ind w:left="444" w:right="0" w:firstLine="0"/>
        <w:jc w:val="left"/>
      </w:pPr>
      <w:r>
        <w:rPr>
          <w:w w:val="102.16200086805556"/>
          <w:rFonts w:ascii="Times New Roman" w:hAnsi="Times New Roman" w:eastAsia="Times New Roman"/>
          <w:b w:val="0"/>
          <w:i w:val="0"/>
          <w:color w:val="262626"/>
          <w:sz w:val="18"/>
        </w:rPr>
        <w:t>0.2</w:t>
      </w:r>
    </w:p>
    <w:p>
      <w:pPr>
        <w:autoSpaceDN w:val="0"/>
        <w:autoSpaceDE w:val="0"/>
        <w:widowControl/>
        <w:spacing w:line="230" w:lineRule="auto" w:before="120" w:after="384"/>
        <w:ind w:left="0" w:right="486" w:firstLine="0"/>
        <w:jc w:val="right"/>
      </w:pPr>
      <w:r>
        <w:rPr>
          <w:w w:val="102.16200086805556"/>
          <w:rFonts w:ascii="Times New Roman" w:hAnsi="Times New Roman" w:eastAsia="Times New Roman"/>
          <w:b w:val="0"/>
          <w:i w:val="0"/>
          <w:color w:val="262626"/>
          <w:sz w:val="18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41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56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386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Q1 (Mild)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830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Q2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67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320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Q4 (Severe)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33" w:lineRule="auto" w:before="18" w:after="0"/>
        <w:ind w:left="0" w:right="3986" w:firstLine="0"/>
        <w:jc w:val="right"/>
      </w:pPr>
      <w:r>
        <w:rPr>
          <w:w w:val="102.1620056845925"/>
          <w:rFonts w:ascii="Times New Roman" w:hAnsi="Times New Roman" w:eastAsia="Times New Roman"/>
          <w:b w:val="0"/>
          <w:i w:val="0"/>
          <w:color w:val="262626"/>
          <w:sz w:val="22"/>
        </w:rPr>
        <w:t>Severity Quartile</w:t>
      </w:r>
    </w:p>
    <w:p>
      <w:pPr>
        <w:autoSpaceDN w:val="0"/>
        <w:autoSpaceDE w:val="0"/>
        <w:widowControl/>
        <w:spacing w:line="218" w:lineRule="exact" w:before="268" w:after="0"/>
        <w:ind w:left="10" w:right="5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6: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 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per-severity Pearson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(bars) and mean episodic reward (lines) for the RecurrentPPO brady+deg 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policy versus the MLP brady+deg baseline, evaluated on the full brady+deg environment.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 xml:space="preserve">RecurrentPPO retains higher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 match and reward across all severity quartiles.</w:t>
      </w:r>
    </w:p>
    <w:p>
      <w:pPr>
        <w:autoSpaceDN w:val="0"/>
        <w:autoSpaceDE w:val="0"/>
        <w:widowControl/>
        <w:spacing w:line="200" w:lineRule="exact" w:before="416" w:after="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 brady+deg vs. deg-only, evaluated on the full brady+deg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33.9999999999998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22"/>
        </w:trPr>
        <w:tc>
          <w:tcPr>
            <w:tcW w:type="dxa" w:w="1040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Quartile</w:t>
            </w:r>
          </w:p>
        </w:tc>
        <w:tc>
          <w:tcPr>
            <w:tcW w:type="dxa" w:w="2036"/>
            <w:gridSpan w:val="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0" w:right="56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Pearson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r</w:t>
            </w:r>
          </w:p>
        </w:tc>
        <w:tc>
          <w:tcPr>
            <w:tcW w:type="dxa" w:w="2236"/>
            <w:gridSpan w:val="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55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Mean Reward</w:t>
            </w:r>
          </w:p>
        </w:tc>
      </w:tr>
      <w:tr>
        <w:trPr>
          <w:trHeight w:hRule="exact" w:val="322"/>
        </w:trPr>
        <w:tc>
          <w:tcPr>
            <w:tcW w:type="dxa" w:w="1040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brady+deg</w:t>
            </w:r>
          </w:p>
        </w:tc>
        <w:tc>
          <w:tcPr>
            <w:tcW w:type="dxa" w:w="880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deg-only</w:t>
            </w:r>
          </w:p>
        </w:tc>
        <w:tc>
          <w:tcPr>
            <w:tcW w:type="dxa" w:w="1240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brady+deg</w:t>
            </w:r>
          </w:p>
        </w:tc>
        <w:tc>
          <w:tcPr>
            <w:tcW w:type="dxa" w:w="996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deg-only</w:t>
            </w:r>
          </w:p>
        </w:tc>
      </w:tr>
      <w:tr>
        <w:trPr>
          <w:trHeight w:hRule="exact" w:val="256"/>
        </w:trPr>
        <w:tc>
          <w:tcPr>
            <w:tcW w:type="dxa" w:w="10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Q1 mild</w:t>
            </w:r>
          </w:p>
        </w:tc>
        <w:tc>
          <w:tcPr>
            <w:tcW w:type="dxa" w:w="115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0.654</w:t>
            </w:r>
          </w:p>
        </w:tc>
        <w:tc>
          <w:tcPr>
            <w:tcW w:type="dxa" w:w="8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1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0.570</w:t>
            </w:r>
          </w:p>
        </w:tc>
        <w:tc>
          <w:tcPr>
            <w:tcW w:type="dxa" w:w="12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2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643.35</w:t>
            </w:r>
          </w:p>
        </w:tc>
        <w:tc>
          <w:tcPr>
            <w:tcW w:type="dxa" w:w="99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493.78</w:t>
            </w:r>
          </w:p>
        </w:tc>
      </w:tr>
      <w:tr>
        <w:trPr>
          <w:trHeight w:hRule="exact" w:val="2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0.522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0.399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2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538.03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185.56</w:t>
            </w:r>
          </w:p>
        </w:tc>
      </w:tr>
      <w:tr>
        <w:trPr>
          <w:trHeight w:hRule="exact" w:val="2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0.417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0.276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2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435.25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39.86</w:t>
            </w:r>
          </w:p>
        </w:tc>
      </w:tr>
      <w:tr>
        <w:trPr>
          <w:trHeight w:hRule="exact" w:val="280"/>
        </w:trPr>
        <w:tc>
          <w:tcPr>
            <w:tcW w:type="dxa" w:w="10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Q4 severe</w:t>
            </w:r>
          </w:p>
        </w:tc>
        <w:tc>
          <w:tcPr>
            <w:tcW w:type="dxa" w:w="115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0.384</w:t>
            </w:r>
          </w:p>
        </w:tc>
        <w:tc>
          <w:tcPr>
            <w:tcW w:type="dxa" w:w="88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1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0.211</w:t>
            </w:r>
          </w:p>
        </w:tc>
        <w:tc>
          <w:tcPr>
            <w:tcW w:type="dxa" w:w="12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2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382.30</w:t>
            </w:r>
          </w:p>
        </w:tc>
        <w:tc>
          <w:tcPr>
            <w:tcW w:type="dxa" w:w="996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9.26</w:t>
            </w:r>
          </w:p>
        </w:tc>
      </w:tr>
      <w:tr>
        <w:trPr>
          <w:trHeight w:hRule="exact" w:val="326"/>
        </w:trPr>
        <w:tc>
          <w:tcPr>
            <w:tcW w:type="dxa" w:w="104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1156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0.494</w:t>
            </w:r>
          </w:p>
        </w:tc>
        <w:tc>
          <w:tcPr>
            <w:tcW w:type="dxa" w:w="88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6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0.364</w:t>
            </w:r>
          </w:p>
        </w:tc>
        <w:tc>
          <w:tcPr>
            <w:tcW w:type="dxa" w:w="124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8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499.73</w:t>
            </w:r>
          </w:p>
        </w:tc>
        <w:tc>
          <w:tcPr>
            <w:tcW w:type="dxa" w:w="996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182.12</w:t>
            </w:r>
          </w:p>
        </w:tc>
      </w:tr>
    </w:tbl>
    <w:p>
      <w:pPr>
        <w:autoSpaceDN w:val="0"/>
        <w:autoSpaceDE w:val="0"/>
        <w:widowControl/>
        <w:spacing w:line="218" w:lineRule="exact" w:before="446" w:after="0"/>
        <w:ind w:left="1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matches or exceeds the MLP in both trajectory match and reward at every quartile, with the gap widening at higher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severity.</w:t>
      </w:r>
    </w:p>
    <w:p>
      <w:pPr>
        <w:autoSpaceDN w:val="0"/>
        <w:tabs>
          <w:tab w:pos="458" w:val="left"/>
        </w:tabs>
        <w:autoSpaceDE w:val="0"/>
        <w:widowControl/>
        <w:spacing w:line="200" w:lineRule="exact" w:before="308" w:after="0"/>
        <w:ind w:left="1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5.4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Ablation 2: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Combined Impairment vs. Degeneration-Only Training</w:t>
      </w:r>
    </w:p>
    <w:p>
      <w:pPr>
        <w:autoSpaceDN w:val="0"/>
        <w:autoSpaceDE w:val="0"/>
        <w:widowControl/>
        <w:spacing w:line="218" w:lineRule="exact" w:before="192" w:after="0"/>
        <w:ind w:left="4" w:right="0" w:hanging="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 claim that training on muscular degeneration alone produces a policy that fails under the full complexity of PD.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3 and Figure 7 test this directly.</w:t>
      </w:r>
    </w:p>
    <w:p>
      <w:pPr>
        <w:autoSpaceDN w:val="0"/>
        <w:autoSpaceDE w:val="0"/>
        <w:widowControl/>
        <w:spacing w:line="218" w:lineRule="exact" w:before="110" w:after="0"/>
        <w:ind w:left="10" w:right="48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achieved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364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(std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404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combined-trained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Goal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fell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88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critically,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policy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collapsed to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a mean reward of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compared to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>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the combined policy.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degeneration-only policy’s standard deviation grows 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281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at Q1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446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at Q4, while the combined policy stays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bounded (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341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pattern is consistent with the degeneration-only agent having never learned the temporal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delay pattern of akinesia: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when bradykinesia is mild the missing model matters little, but as intensity increases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agent’s inability to time torque corrections compounds, producing both lower mean performance and higher variance.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322" w:right="1386" w:bottom="39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1193800</wp:posOffset>
            </wp:positionV>
            <wp:extent cx="5003800" cy="3111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11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3140"/>
        <w:gridCol w:w="3140"/>
        <w:gridCol w:w="3140"/>
      </w:tblGrid>
      <w:tr>
        <w:trPr>
          <w:trHeight w:hRule="exact" w:val="246"/>
        </w:trPr>
        <w:tc>
          <w:tcPr>
            <w:tcW w:type="dxa" w:w="1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  <w:tr>
        <w:trPr>
          <w:trHeight w:hRule="exact" w:val="788"/>
        </w:trPr>
        <w:tc>
          <w:tcPr>
            <w:tcW w:type="dxa" w:w="142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8" w:after="0"/>
              <w:ind w:left="0" w:right="756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</w:t>
            </w:r>
          </w:p>
        </w:tc>
        <w:tc>
          <w:tcPr>
            <w:tcW w:type="dxa" w:w="68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788" w:right="0" w:firstLine="0"/>
              <w:jc w:val="left"/>
            </w:pPr>
            <w:r>
              <w:rPr>
                <w:w w:val="98.23269477257361"/>
                <w:rFonts w:ascii="Times New Roman" w:hAnsi="Times New Roman" w:eastAsia="Times New Roman"/>
                <w:b w:val="0"/>
                <w:i w:val="0"/>
                <w:color w:val="262626"/>
                <w:sz w:val="26"/>
              </w:rPr>
              <w:t>Ablation 2: Trajectory Tracking vs. PD Severity</w:t>
            </w:r>
          </w:p>
        </w:tc>
        <w:tc>
          <w:tcPr>
            <w:tcW w:type="dxa" w:w="112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90" w:after="0"/>
              <w:ind w:left="0" w:right="0" w:firstLine="0"/>
              <w:jc w:val="center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700</w:t>
            </w:r>
          </w:p>
        </w:tc>
      </w:tr>
      <w:tr>
        <w:trPr>
          <w:trHeight w:hRule="exact" w:val="280"/>
        </w:trPr>
        <w:tc>
          <w:tcPr>
            <w:tcW w:type="dxa" w:w="31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2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RecurrentPPO brady+deg (r)</w:t>
            </w:r>
          </w:p>
        </w:tc>
        <w:tc>
          <w:tcPr>
            <w:tcW w:type="dxa" w:w="314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1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2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RecurrentPPO deg-only (r)</w:t>
            </w:r>
          </w:p>
        </w:tc>
        <w:tc>
          <w:tcPr>
            <w:tcW w:type="dxa" w:w="314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22" w:after="22"/>
        <w:ind w:left="0" w:right="964" w:firstLine="0"/>
        <w:jc w:val="right"/>
      </w:pPr>
      <w:r>
        <w:rPr>
          <w:rFonts w:ascii="Times New Roman" w:hAnsi="Times New Roman" w:eastAsia="Times New Roman"/>
          <w:b w:val="0"/>
          <w:i w:val="0"/>
          <w:color w:val="262626"/>
          <w:sz w:val="15"/>
        </w:rPr>
        <w:t>RecurrentPPO brady+deg (reward)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4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32" w:right="0" w:firstLine="0"/>
              <w:jc w:val="left"/>
            </w:pPr>
            <w:r>
              <w:rPr>
                <w:w w:val="102.1620056845925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Pearson r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0.8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5"/>
              </w:rPr>
              <w:t>RecurrentPPO deg-only (reward)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600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2" w:right="0" w:firstLine="0"/>
              <w:jc w:val="left"/>
            </w:pPr>
            <w:r>
              <w:rPr>
                <w:w w:val="102.1620056845925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Episodic Reward</w:t>
            </w:r>
          </w:p>
        </w:tc>
      </w:tr>
      <w:tr>
        <w:trPr>
          <w:trHeight w:hRule="exact" w:val="980"/>
        </w:trPr>
        <w:tc>
          <w:tcPr>
            <w:tcW w:type="dxa" w:w="1884"/>
            <w:vMerge/>
            <w:tcBorders/>
          </w:tcPr>
          <w:p/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4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0.6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500</w:t>
            </w:r>
          </w:p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884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0" w:after="0"/>
              <w:ind w:left="54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0.4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400</w:t>
            </w:r>
          </w:p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612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300</w:t>
            </w:r>
          </w:p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0" w:right="1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200</w:t>
            </w:r>
          </w:p>
        </w:tc>
        <w:tc>
          <w:tcPr>
            <w:tcW w:type="dxa" w:w="18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36" w:after="0"/>
        <w:ind w:left="440" w:right="0" w:firstLine="0"/>
        <w:jc w:val="left"/>
      </w:pPr>
      <w:r>
        <w:rPr>
          <w:w w:val="102.16200086805556"/>
          <w:rFonts w:ascii="Times New Roman" w:hAnsi="Times New Roman" w:eastAsia="Times New Roman"/>
          <w:b w:val="0"/>
          <w:i w:val="0"/>
          <w:color w:val="262626"/>
          <w:sz w:val="18"/>
        </w:rPr>
        <w:t>0.2</w:t>
      </w:r>
    </w:p>
    <w:p>
      <w:pPr>
        <w:autoSpaceDN w:val="0"/>
        <w:autoSpaceDE w:val="0"/>
        <w:widowControl/>
        <w:spacing w:line="230" w:lineRule="auto" w:before="142" w:after="148"/>
        <w:ind w:left="0" w:right="486" w:firstLine="0"/>
        <w:jc w:val="right"/>
      </w:pPr>
      <w:r>
        <w:rPr>
          <w:w w:val="102.16200086805556"/>
          <w:rFonts w:ascii="Times New Roman" w:hAnsi="Times New Roman" w:eastAsia="Times New Roman"/>
          <w:b w:val="0"/>
          <w:i w:val="0"/>
          <w:color w:val="262626"/>
          <w:sz w:val="18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406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0" w:right="0" w:firstLine="0"/>
              <w:jc w:val="center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30" w:right="0" w:firstLine="0"/>
              <w:jc w:val="left"/>
            </w:pPr>
            <w:r>
              <w:rPr>
                <w:w w:val="97.05390334129333"/>
                <w:rFonts w:ascii="Times New Roman" w:hAnsi="Times New Roman" w:eastAsia="Times New Roman"/>
                <w:b w:val="0"/>
                <w:i/>
                <w:color w:val="000000"/>
                <w:sz w:val="16"/>
              </w:rPr>
              <w:t>No trajectory correlation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4" w:after="0"/>
              <w:ind w:left="0" w:right="830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Q2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4" w:after="0"/>
              <w:ind w:left="0" w:right="672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Q3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94" w:after="0"/>
              <w:ind w:left="0" w:right="320" w:firstLine="0"/>
              <w:jc w:val="righ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Q4 (Severe)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0" w:after="0"/>
              <w:ind w:left="0" w:right="0" w:firstLine="0"/>
              <w:jc w:val="center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</w:t>
            </w:r>
          </w:p>
        </w:tc>
      </w:tr>
      <w:tr>
        <w:trPr>
          <w:trHeight w:hRule="exact" w:val="410"/>
        </w:trPr>
        <w:tc>
          <w:tcPr>
            <w:tcW w:type="dxa" w:w="157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526" w:right="0" w:firstLine="0"/>
              <w:jc w:val="left"/>
            </w:pPr>
            <w:r>
              <w:rPr>
                <w:w w:val="102.16200086805556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Q1 (Mild)</w:t>
            </w:r>
          </w:p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  <w:tc>
          <w:tcPr>
            <w:tcW w:type="dxa" w:w="15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8" w:after="0"/>
        <w:ind w:left="0" w:right="3986" w:firstLine="0"/>
        <w:jc w:val="right"/>
      </w:pPr>
      <w:r>
        <w:rPr>
          <w:w w:val="102.1620056845925"/>
          <w:rFonts w:ascii="Times New Roman" w:hAnsi="Times New Roman" w:eastAsia="Times New Roman"/>
          <w:b w:val="0"/>
          <w:i w:val="0"/>
          <w:color w:val="262626"/>
          <w:sz w:val="22"/>
        </w:rPr>
        <w:t>Severity Quartile</w:t>
      </w:r>
    </w:p>
    <w:p>
      <w:pPr>
        <w:autoSpaceDN w:val="0"/>
        <w:autoSpaceDE w:val="0"/>
        <w:widowControl/>
        <w:spacing w:line="218" w:lineRule="exact" w:before="268" w:after="0"/>
        <w:ind w:left="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7: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Ablation 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per-severity Pearson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(bars) and mean episodic reward (lines) for RecurrentPPO brady+deg vs.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deg-only.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 Q4 the degeneration-only policy’s mean reward collapses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(vs.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the combined policy),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highlighting how it fails at severe bradykinesia.</w:t>
      </w:r>
    </w:p>
    <w:p>
      <w:pPr>
        <w:autoSpaceDN w:val="0"/>
        <w:autoSpaceDE w:val="0"/>
        <w:widowControl/>
        <w:spacing w:line="218" w:lineRule="exact" w:before="496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MLP architectures, the same comparison showed a negligible and reversed gap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439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brady+deg vs.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443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deg-only).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contrasted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confirms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capacity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exploit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LSTM’s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hidden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combined-impairment training to translate into combined-impairment competence.</w:t>
      </w:r>
    </w:p>
    <w:p>
      <w:pPr>
        <w:autoSpaceDN w:val="0"/>
        <w:autoSpaceDE w:val="0"/>
        <w:widowControl/>
        <w:spacing w:line="200" w:lineRule="exact" w:before="128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 8 shows performance broken down by radian travelled across all policies.</w:t>
      </w:r>
    </w:p>
    <w:p>
      <w:pPr>
        <w:autoSpaceDN w:val="0"/>
        <w:tabs>
          <w:tab w:pos="454" w:val="left"/>
        </w:tabs>
        <w:autoSpaceDE w:val="0"/>
        <w:widowControl/>
        <w:spacing w:line="198" w:lineRule="exact" w:before="344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5.5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Ablation 3: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Noise Robustness</w:t>
      </w:r>
    </w:p>
    <w:p>
      <w:pPr>
        <w:autoSpaceDN w:val="0"/>
        <w:autoSpaceDE w:val="0"/>
        <w:widowControl/>
        <w:spacing w:line="218" w:lineRule="exact" w:before="206" w:after="0"/>
        <w:ind w:left="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RecurrentPPO was compared against a noise-trained variant across four noise levels 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05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) injected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into muscle activation observations only.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noise-trained policy was initially trained for 1 500 000 timesteps in a clean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environment, then fine-tuned for a further 1 500 000 timesteps in a noisy environment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Uniform(0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10)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 episode.</w:t>
      </w:r>
    </w:p>
    <w:p>
      <w:pPr>
        <w:autoSpaceDN w:val="0"/>
        <w:autoSpaceDE w:val="0"/>
        <w:widowControl/>
        <w:spacing w:line="218" w:lineRule="exact" w:before="112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Both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maintained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strong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9).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clean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RecurrentPPO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declined by 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011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10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noise-trained variant maintained slightly higher performance,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though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small.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results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demonstrate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LSTM’s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temporal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integration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inherent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noise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robustness—the recurrent hidden state effectively filters transient signal corruption.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tested range reflects realistic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sEMG sensing conditions: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literature establishes adequate sEMG SNR 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18 dB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[PMC, 2025c].</w:t>
      </w:r>
    </w:p>
    <w:p>
      <w:pPr>
        <w:autoSpaceDN w:val="0"/>
        <w:tabs>
          <w:tab w:pos="454" w:val="left"/>
        </w:tabs>
        <w:autoSpaceDE w:val="0"/>
        <w:widowControl/>
        <w:spacing w:line="198" w:lineRule="exact" w:before="344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5.6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Summary</w:t>
      </w:r>
    </w:p>
    <w:p>
      <w:pPr>
        <w:autoSpaceDN w:val="0"/>
        <w:autoSpaceDE w:val="0"/>
        <w:widowControl/>
        <w:spacing w:line="200" w:lineRule="exact" w:before="224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5 presents the full evaluation summary across all policies.</w:t>
      </w:r>
    </w:p>
    <w:p>
      <w:pPr>
        <w:autoSpaceDN w:val="0"/>
        <w:autoSpaceDE w:val="0"/>
        <w:widowControl/>
        <w:spacing w:line="218" w:lineRule="exact" w:before="110" w:after="0"/>
        <w:ind w:left="6" w:right="54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RecurrentPPO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symptoms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highest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degeneration-only RecurrentPPO performs worst of all exoskeleton policies on the full PD environment, confirming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 temporal reasoning amplifies the consequences of training environment mismatch.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10</w:t>
      </w:r>
    </w:p>
    <w:p>
      <w:pPr>
        <w:sectPr>
          <w:pgSz w:w="12240" w:h="15840"/>
          <w:pgMar w:top="322" w:right="1386" w:bottom="39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1295400</wp:posOffset>
            </wp:positionV>
            <wp:extent cx="5410200" cy="3098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9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5613400</wp:posOffset>
            </wp:positionV>
            <wp:extent cx="4622800" cy="3060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06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33" w:lineRule="auto" w:before="580" w:after="0"/>
        <w:ind w:left="0" w:right="2456" w:firstLine="0"/>
        <w:jc w:val="right"/>
      </w:pPr>
      <w:r>
        <w:rPr>
          <w:w w:val="98.31852383083768"/>
          <w:rFonts w:ascii="Times New Roman" w:hAnsi="Times New Roman" w:eastAsia="Times New Roman"/>
          <w:b w:val="0"/>
          <w:i w:val="0"/>
          <w:color w:val="262626"/>
          <w:sz w:val="27"/>
        </w:rPr>
        <w:t>Trajectory Tracking vs. Target Angle</w:t>
      </w:r>
    </w:p>
    <w:p>
      <w:pPr>
        <w:autoSpaceDN w:val="0"/>
        <w:autoSpaceDE w:val="0"/>
        <w:widowControl/>
        <w:spacing w:line="233" w:lineRule="auto" w:before="730" w:after="758"/>
        <w:ind w:left="436" w:right="0" w:firstLine="0"/>
        <w:jc w:val="left"/>
      </w:pPr>
      <w:r>
        <w:rPr>
          <w:w w:val="102.10000144110785"/>
          <w:rFonts w:ascii="Times New Roman" w:hAnsi="Times New Roman" w:eastAsia="Times New Roman"/>
          <w:b w:val="0"/>
          <w:i w:val="0"/>
          <w:color w:val="262626"/>
          <w:sz w:val="18"/>
        </w:rPr>
        <w:t>0.8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695"/>
        <w:gridCol w:w="4695"/>
      </w:tblGrid>
      <w:tr>
        <w:trPr>
          <w:trHeight w:hRule="exact" w:val="1564"/>
        </w:trPr>
        <w:tc>
          <w:tcPr>
            <w:tcW w:type="dxa" w:w="3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w w:val="102.09999951449306"/>
                <w:rFonts w:ascii="Times New Roman" w:hAnsi="Times New Roman" w:eastAsia="Times New Roman"/>
                <w:b w:val="0"/>
                <w:i w:val="0"/>
                <w:color w:val="262626"/>
                <w:sz w:val="22"/>
              </w:rPr>
              <w:t>Mean Pearson r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0.6</w:t>
            </w:r>
          </w:p>
          <w:p>
            <w:pPr>
              <w:autoSpaceDN w:val="0"/>
              <w:autoSpaceDE w:val="0"/>
              <w:widowControl/>
              <w:spacing w:line="233" w:lineRule="auto" w:before="816" w:after="0"/>
              <w:ind w:left="52" w:right="0" w:firstLine="0"/>
              <w:jc w:val="left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1124" w:right="0" w:firstLine="0"/>
        <w:jc w:val="left"/>
      </w:pPr>
      <w:r>
        <w:rPr>
          <w:w w:val="96.9950020313263"/>
          <w:rFonts w:ascii="Times New Roman" w:hAnsi="Times New Roman" w:eastAsia="Times New Roman"/>
          <w:b w:val="0"/>
          <w:i/>
          <w:color w:val="000000"/>
          <w:sz w:val="16"/>
        </w:rPr>
        <w:t>No-exo overall (r = 0.223)</w:t>
      </w:r>
    </w:p>
    <w:p>
      <w:pPr>
        <w:autoSpaceDN w:val="0"/>
        <w:tabs>
          <w:tab w:pos="7330" w:val="left"/>
        </w:tabs>
        <w:autoSpaceDE w:val="0"/>
        <w:widowControl/>
        <w:spacing w:line="295" w:lineRule="auto" w:before="80" w:after="24"/>
        <w:ind w:left="436" w:right="288" w:firstLine="0"/>
        <w:jc w:val="left"/>
      </w:pPr>
      <w:r>
        <w:rPr>
          <w:w w:val="102.10000144110785"/>
          <w:rFonts w:ascii="Times New Roman" w:hAnsi="Times New Roman" w:eastAsia="Times New Roman"/>
          <w:b w:val="0"/>
          <w:i w:val="0"/>
          <w:color w:val="262626"/>
          <w:sz w:val="18"/>
        </w:rPr>
        <w:t xml:space="preserve">0.2 </w:t>
      </w:r>
      <w:r>
        <w:tab/>
      </w:r>
      <w:r>
        <w:rPr>
          <w:w w:val="98.49647073184742"/>
          <w:rFonts w:ascii="Times New Roman" w:hAnsi="Times New Roman" w:eastAsia="Times New Roman"/>
          <w:b w:val="0"/>
          <w:i w:val="0"/>
          <w:color w:val="262626"/>
          <w:sz w:val="17"/>
        </w:rPr>
        <w:t xml:space="preserve">RecurrentPPO brady+deg </w:t>
      </w:r>
      <w:r>
        <w:tab/>
      </w:r>
      <w:r>
        <w:rPr>
          <w:w w:val="98.49647073184742"/>
          <w:rFonts w:ascii="Times New Roman" w:hAnsi="Times New Roman" w:eastAsia="Times New Roman"/>
          <w:b w:val="0"/>
          <w:i w:val="0"/>
          <w:color w:val="262626"/>
          <w:sz w:val="17"/>
        </w:rPr>
        <w:t xml:space="preserve">RecurrentPPO deg-only </w:t>
      </w:r>
      <w:r>
        <w:tab/>
      </w:r>
      <w:r>
        <w:rPr>
          <w:w w:val="98.49647073184742"/>
          <w:rFonts w:ascii="Times New Roman" w:hAnsi="Times New Roman" w:eastAsia="Times New Roman"/>
          <w:b w:val="0"/>
          <w:i w:val="0"/>
          <w:color w:val="262626"/>
          <w:sz w:val="17"/>
        </w:rPr>
        <w:t xml:space="preserve">MLP brady+deg </w:t>
      </w:r>
      <w:r>
        <w:tab/>
      </w:r>
      <w:r>
        <w:rPr>
          <w:w w:val="98.49647073184742"/>
          <w:rFonts w:ascii="Times New Roman" w:hAnsi="Times New Roman" w:eastAsia="Times New Roman"/>
          <w:b w:val="0"/>
          <w:i w:val="0"/>
          <w:color w:val="262626"/>
          <w:sz w:val="17"/>
        </w:rPr>
        <w:t>No exoskeleton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84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78" w:firstLine="0"/>
              <w:jc w:val="right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104" w:right="0" w:firstLine="0"/>
              <w:jc w:val="left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0.0–0.5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0.5–1.0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1.0–1.5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186" w:firstLine="0"/>
              <w:jc w:val="right"/>
            </w:pPr>
            <w:r>
              <w:rPr>
                <w:w w:val="102.10000144110785"/>
                <w:rFonts w:ascii="Times New Roman" w:hAnsi="Times New Roman" w:eastAsia="Times New Roman"/>
                <w:b w:val="0"/>
                <w:i w:val="0"/>
                <w:color w:val="262626"/>
                <w:sz w:val="18"/>
              </w:rPr>
              <w:t>1.5+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0" w:right="3396" w:firstLine="0"/>
        <w:jc w:val="right"/>
      </w:pPr>
      <w:r>
        <w:rPr>
          <w:w w:val="102.09999951449306"/>
          <w:rFonts w:ascii="Times New Roman" w:hAnsi="Times New Roman" w:eastAsia="Times New Roman"/>
          <w:b w:val="0"/>
          <w:i w:val="0"/>
          <w:color w:val="262626"/>
          <w:sz w:val="22"/>
        </w:rPr>
        <w:t>Target Angle Bin (rad)</w:t>
      </w:r>
    </w:p>
    <w:p>
      <w:pPr>
        <w:autoSpaceDN w:val="0"/>
        <w:autoSpaceDE w:val="0"/>
        <w:widowControl/>
        <w:spacing w:line="218" w:lineRule="exact" w:before="270" w:after="514"/>
        <w:ind w:left="4" w:right="2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Figure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Trajectory-tracking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Pearson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radian-travelled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four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CMSY10" w:hAnsi="CMSY10" w:eastAsia="CMSY10"/>
          <w:b w:val="0"/>
          <w:i/>
          <w:color w:val="000000"/>
          <w:sz w:val="20"/>
        </w:rPr>
        <w:t>±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bands.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LSTM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accumulates temporal context over longer movements, improving performance at larger angles.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Dashed line marks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no-exoskeleton overall baseline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223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4695"/>
        <w:gridCol w:w="4695"/>
      </w:tblGrid>
      <w:tr>
        <w:trPr>
          <w:trHeight w:hRule="exact" w:val="46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0" w:right="796" w:firstLine="0"/>
              <w:jc w:val="right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0.65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32" w:right="0" w:firstLine="0"/>
              <w:jc w:val="left"/>
            </w:pPr>
            <w:r>
              <w:rPr>
                <w:w w:val="98.10364764669667"/>
                <w:rFonts w:ascii="Times New Roman" w:hAnsi="Times New Roman" w:eastAsia="Times New Roman"/>
                <w:b w:val="0"/>
                <w:i w:val="0"/>
                <w:color w:val="262626"/>
                <w:sz w:val="23"/>
              </w:rPr>
              <w:t>Noise Robustness of the Exoskeleton Policy</w:t>
            </w:r>
          </w:p>
        </w:tc>
      </w:tr>
    </w:tbl>
    <w:p>
      <w:pPr>
        <w:autoSpaceDN w:val="0"/>
        <w:autoSpaceDE w:val="0"/>
        <w:widowControl/>
        <w:spacing w:line="269" w:lineRule="auto" w:before="12" w:after="0"/>
        <w:ind w:left="6704" w:right="864" w:firstLine="0"/>
        <w:jc w:val="left"/>
      </w:pPr>
      <w:r>
        <w:rPr>
          <w:w w:val="98.35519790649414"/>
          <w:rFonts w:ascii="Times New Roman" w:hAnsi="Times New Roman" w:eastAsia="Times New Roman"/>
          <w:b w:val="0"/>
          <w:i w:val="0"/>
          <w:color w:val="262626"/>
          <w:sz w:val="15"/>
        </w:rPr>
        <w:t xml:space="preserve">Clean RecurrentPPO </w:t>
      </w:r>
      <w:r>
        <w:br/>
      </w:r>
      <w:r>
        <w:rPr>
          <w:w w:val="98.35519790649414"/>
          <w:rFonts w:ascii="Times New Roman" w:hAnsi="Times New Roman" w:eastAsia="Times New Roman"/>
          <w:b w:val="0"/>
          <w:i w:val="0"/>
          <w:color w:val="262626"/>
          <w:sz w:val="15"/>
        </w:rPr>
        <w:t>Noisy-trained RecurrentPPO</w:t>
      </w:r>
    </w:p>
    <w:p>
      <w:pPr>
        <w:autoSpaceDN w:val="0"/>
        <w:autoSpaceDE w:val="0"/>
        <w:widowControl/>
        <w:spacing w:line="233" w:lineRule="auto" w:before="198" w:after="540"/>
        <w:ind w:left="1074" w:right="0" w:firstLine="0"/>
        <w:jc w:val="left"/>
      </w:pPr>
      <w:r>
        <w:rPr>
          <w:w w:val="97.6319968700409"/>
          <w:rFonts w:ascii="Times New Roman" w:hAnsi="Times New Roman" w:eastAsia="Times New Roman"/>
          <w:b w:val="0"/>
          <w:i w:val="0"/>
          <w:color w:val="262626"/>
          <w:sz w:val="16"/>
        </w:rPr>
        <w:t>0.64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4.00000000000006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52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0" w:after="0"/>
              <w:ind w:left="0" w:right="1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9"/>
              </w:rPr>
              <w:t>Pearson r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0.63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94" w:after="0"/>
              <w:ind w:left="132" w:right="0" w:firstLine="0"/>
              <w:jc w:val="left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0.00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94" w:after="0"/>
              <w:ind w:left="0" w:right="22" w:firstLine="0"/>
              <w:jc w:val="right"/>
            </w:pPr>
            <w:r>
              <w:rPr>
                <w:rFonts w:ascii="STIXGeneral" w:hAnsi="STIXGeneral" w:eastAsia="STIXGeneral"/>
                <w:b w:val="0"/>
                <w:i w:val="0"/>
                <w:color w:val="000000"/>
                <w:sz w:val="15"/>
              </w:rPr>
              <w:t>Δ</w:t>
            </w:r>
            <w:r>
              <w:rPr>
                <w:rFonts w:ascii="STIXGeneral" w:hAnsi="STIXGeneral" w:eastAsia="STIXGeneral"/>
                <w:b w:val="0"/>
                <w:i/>
                <w:color w:val="000000"/>
                <w:sz w:val="15"/>
              </w:rPr>
              <w:t>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 = 0.011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62626"/>
                <w:sz w:val="19"/>
              </w:rPr>
              <w:t xml:space="preserve">Observation Noise </w:t>
            </w:r>
            <w:r>
              <w:rPr>
                <w:rFonts w:ascii="STIXGeneral" w:hAnsi="STIXGeneral" w:eastAsia="STIXGeneral"/>
                <w:b w:val="0"/>
                <w:i/>
                <w:color w:val="262626"/>
                <w:sz w:val="19"/>
              </w:rPr>
              <w:t>σ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94" w:after="0"/>
              <w:ind w:left="92" w:right="0" w:firstLine="0"/>
              <w:jc w:val="left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0.05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8" w:after="0"/>
              <w:ind w:left="56" w:right="0" w:firstLine="0"/>
              <w:jc w:val="left"/>
            </w:pPr>
            <w:r>
              <w:rPr>
                <w:w w:val="96.70217377798897"/>
                <w:rFonts w:ascii="Times New Roman" w:hAnsi="Times New Roman" w:eastAsia="Times New Roman"/>
                <w:b w:val="0"/>
                <w:i/>
                <w:color w:val="000000"/>
                <w:sz w:val="14"/>
              </w:rPr>
              <w:t>Max tested</w:t>
            </w:r>
          </w:p>
        </w:tc>
      </w:tr>
      <w:tr>
        <w:trPr>
          <w:trHeight w:hRule="exact" w:val="760"/>
        </w:trPr>
        <w:tc>
          <w:tcPr>
            <w:tcW w:type="dxa" w:w="1341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4" w:after="0"/>
              <w:ind w:left="0" w:right="0" w:firstLine="0"/>
              <w:jc w:val="center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0.62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1341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8" w:after="0"/>
              <w:ind w:left="0" w:right="0" w:firstLine="0"/>
              <w:jc w:val="center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0.61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1341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0.60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0" w:right="114" w:firstLine="0"/>
              <w:jc w:val="right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0.01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6" w:after="0"/>
              <w:ind w:left="0" w:right="514" w:firstLine="0"/>
              <w:jc w:val="right"/>
            </w:pPr>
            <w:r>
              <w:rPr>
                <w:w w:val="97.6319968700409"/>
                <w:rFonts w:ascii="Times New Roman" w:hAnsi="Times New Roman" w:eastAsia="Times New Roman"/>
                <w:b w:val="0"/>
                <w:i w:val="0"/>
                <w:color w:val="262626"/>
                <w:sz w:val="16"/>
              </w:rPr>
              <w:t>0.10</w:t>
            </w:r>
          </w:p>
        </w:tc>
      </w:tr>
    </w:tbl>
    <w:p>
      <w:pPr>
        <w:autoSpaceDN w:val="0"/>
        <w:autoSpaceDE w:val="0"/>
        <w:widowControl/>
        <w:spacing w:line="218" w:lineRule="exact" w:before="148" w:after="0"/>
        <w:ind w:left="4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Figure 9: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Noise robustness: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clean vs. noisy-trained RecurrentPPO across observation noise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 degrades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∆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62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322" w:right="1414" w:bottom="39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04" w:lineRule="exact" w:before="464" w:after="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Noise robustness—Pearson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goal rate.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8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22"/>
        </w:trPr>
        <w:tc>
          <w:tcPr>
            <w:tcW w:type="dxa" w:w="59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4"/>
            <w:gridSpan w:val="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Clean RecPPO</w:t>
            </w:r>
          </w:p>
        </w:tc>
        <w:tc>
          <w:tcPr>
            <w:tcW w:type="dxa" w:w="2274"/>
            <w:gridSpan w:val="2"/>
            <w:tcBorders>
              <w:top w:sz="6.375999927520752" w:val="single" w:color="#000000"/>
              <w:bottom w:sz="2.391999959945678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Noisy-trained RecPPO</w:t>
            </w:r>
          </w:p>
        </w:tc>
      </w:tr>
      <w:tr>
        <w:trPr>
          <w:trHeight w:hRule="exact" w:val="322"/>
        </w:trPr>
        <w:tc>
          <w:tcPr>
            <w:tcW w:type="dxa" w:w="592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28" w:right="0" w:firstLine="0"/>
              <w:jc w:val="left"/>
            </w:pPr>
            <w:r>
              <w:rPr>
                <w:rFonts w:ascii="CMMIB10" w:hAnsi="CMMIB10" w:eastAsia="CMMIB10"/>
                <w:b/>
                <w:i/>
                <w:color w:val="000000"/>
                <w:sz w:val="20"/>
              </w:rPr>
              <w:t>σ</w:t>
            </w:r>
          </w:p>
        </w:tc>
        <w:tc>
          <w:tcPr>
            <w:tcW w:type="dxa" w:w="708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</w:p>
        </w:tc>
        <w:tc>
          <w:tcPr>
            <w:tcW w:type="dxa" w:w="706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974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49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</w:p>
        </w:tc>
        <w:tc>
          <w:tcPr>
            <w:tcW w:type="dxa" w:w="1300"/>
            <w:tcBorders>
              <w:top w:sz="2.3919999599456787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5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Goal</w:t>
            </w:r>
          </w:p>
        </w:tc>
      </w:tr>
      <w:tr>
        <w:trPr>
          <w:trHeight w:hRule="exact" w:val="270"/>
        </w:trPr>
        <w:tc>
          <w:tcPr>
            <w:tcW w:type="dxa" w:w="59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70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0.632</w:t>
            </w:r>
          </w:p>
        </w:tc>
        <w:tc>
          <w:tcPr>
            <w:tcW w:type="dxa" w:w="706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0.906</w:t>
            </w:r>
          </w:p>
        </w:tc>
        <w:tc>
          <w:tcPr>
            <w:tcW w:type="dxa" w:w="9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0.638</w:t>
            </w:r>
          </w:p>
        </w:tc>
        <w:tc>
          <w:tcPr>
            <w:tcW w:type="dxa" w:w="13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0.923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0.01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0.628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0.897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0.636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5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0.895</w:t>
            </w:r>
          </w:p>
        </w:tc>
      </w:tr>
      <w:tr>
        <w:trPr>
          <w:trHeight w:hRule="exact" w:val="20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0.626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0.903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0.632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5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0.897</w:t>
            </w:r>
          </w:p>
        </w:tc>
      </w:tr>
      <w:tr>
        <w:trPr>
          <w:trHeight w:hRule="exact" w:val="290"/>
        </w:trPr>
        <w:tc>
          <w:tcPr>
            <w:tcW w:type="dxa" w:w="59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70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0.621</w:t>
            </w:r>
          </w:p>
        </w:tc>
        <w:tc>
          <w:tcPr>
            <w:tcW w:type="dxa" w:w="706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0.899</w:t>
            </w:r>
          </w:p>
        </w:tc>
        <w:tc>
          <w:tcPr>
            <w:tcW w:type="dxa" w:w="9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0.630</w:t>
            </w:r>
          </w:p>
        </w:tc>
        <w:tc>
          <w:tcPr>
            <w:tcW w:type="dxa" w:w="13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2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0.897</w:t>
            </w:r>
          </w:p>
        </w:tc>
      </w:tr>
    </w:tbl>
    <w:p>
      <w:pPr>
        <w:autoSpaceDN w:val="0"/>
        <w:autoSpaceDE w:val="0"/>
        <w:widowControl/>
        <w:spacing w:line="200" w:lineRule="exact" w:before="408" w:after="3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5: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 evaluation summary (4 000 shared episodes, brady+deg environment).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296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Policy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Architecture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Pearson</w:t>
            </w:r>
            <w:r>
              <w:rPr>
                <w:rFonts w:ascii="CMMI9" w:hAnsi="CMMI9" w:eastAsia="CMMI9"/>
                <w:b w:val="0"/>
                <w:i/>
                <w:color w:val="000000"/>
                <w:sz w:val="18"/>
              </w:rPr>
              <w:t xml:space="preserve"> r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Goal Rate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Mean Reward</w:t>
            </w:r>
          </w:p>
        </w:tc>
      </w:tr>
      <w:tr>
        <w:trPr>
          <w:trHeight w:hRule="exact" w:val="242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76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No exoskeleton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8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0.223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0.651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97.37</w:t>
            </w:r>
          </w:p>
        </w:tc>
      </w:tr>
      <w:tr>
        <w:trPr>
          <w:trHeight w:hRule="exact" w:val="20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8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policy_deg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MLP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0.443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0.805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319.07</w:t>
            </w:r>
          </w:p>
        </w:tc>
      </w:tr>
      <w:tr>
        <w:trPr>
          <w:trHeight w:hRule="exact" w:val="20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9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policy_brady_deg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MLP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0.439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0.890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460.29</w:t>
            </w:r>
          </w:p>
        </w:tc>
      </w:tr>
      <w:tr>
        <w:trPr>
          <w:trHeight w:hRule="exact" w:val="20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policy_deg_recurrent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RecPPO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0.364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0.789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182.12</w:t>
            </w:r>
          </w:p>
        </w:tc>
      </w:tr>
      <w:tr>
        <w:trPr>
          <w:trHeight w:hRule="exact" w:val="200"/>
        </w:trPr>
        <w:tc>
          <w:tcPr>
            <w:tcW w:type="dxa" w:w="3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policy_brady_deg_recurrent</w:t>
            </w:r>
          </w:p>
        </w:tc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RecPPO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0.494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0.888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499.73</w:t>
            </w:r>
          </w:p>
        </w:tc>
      </w:tr>
      <w:tr>
        <w:trPr>
          <w:trHeight w:hRule="exact" w:val="44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policy_noisy_recurrent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RecPPO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0.475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0.892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488.67</w:t>
            </w:r>
          </w:p>
        </w:tc>
      </w:tr>
      <w:tr>
        <w:trPr>
          <w:trHeight w:hRule="exact" w:val="64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9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2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Discussion</w:t>
            </w:r>
          </w:p>
        </w:tc>
      </w:tr>
      <w:tr>
        <w:trPr>
          <w:trHeight w:hRule="exact" w:val="352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Interpreting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results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across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severity.</w:t>
            </w:r>
          </w:p>
        </w:tc>
        <w:tc>
          <w:tcPr>
            <w:tcW w:type="dxa" w:w="6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2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RecurrentPPO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policy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achieved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494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8%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goal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rate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across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0" w:right="0" w:firstLine="8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stratified episodes covering mild (Q1,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654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to severe (Q4,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presentations.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monotonic degradation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 severity confirms the policy is being tested across the full clinical range.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 a progressive disease, cross-severity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generalisation without recalibration is more clinically meaningful than peak accuracy on a single calibrated patient.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matters because accessibility and adaptability—not sensor precision—are the documented barriers to adoption: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over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90%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of PD patients express interest in wearable technology, yet only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8%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have used a medical device [Hirczy et al.,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2024, PMC, 2024].</w:t>
      </w:r>
    </w:p>
    <w:p>
      <w:pPr>
        <w:autoSpaceDN w:val="0"/>
        <w:tabs>
          <w:tab w:pos="5236" w:val="left"/>
        </w:tabs>
        <w:autoSpaceDE w:val="0"/>
        <w:widowControl/>
        <w:spacing w:line="218" w:lineRule="exact" w:before="278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>Environment design as the mechanism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of generalisability.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central result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 what the ablation reveals: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degeneration-only and combined-trained RecurrentPPO are architecturally identical, differing only in their training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environment.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degeneration-only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achieves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reward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while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combined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 achieves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reward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isolates the training environment as the critical variable.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same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three-phase framework is disease-agnostic: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replacing the bradykinesia and degeneration equations with pathological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models for ALS, muscular dystrophy, or post-stroke spasticity would apply it to an entirely different clinical population.</w:t>
      </w:r>
    </w:p>
    <w:p>
      <w:pPr>
        <w:autoSpaceDN w:val="0"/>
        <w:tabs>
          <w:tab w:pos="456" w:val="left"/>
        </w:tabs>
        <w:autoSpaceDE w:val="0"/>
        <w:widowControl/>
        <w:spacing w:line="200" w:lineRule="exact" w:before="32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6.1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18" w:lineRule="exact" w:before="198" w:after="0"/>
        <w:ind w:left="8" w:right="38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evaluation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entirely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simulation-based—no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involved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physical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constructed.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Sim-to-real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transfer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musculoskeletal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controllers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remains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open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challenge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[Luo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2025];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potential gaps in muscle dynamics, sensor noise profiles, and body variability cannot be fully characterised 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clinical validation.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However, MyoSuite was developed with validated Hill-model dynamics and in collaboration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musculoskeletal researchers, reducing but not eliminating this gap [Caggiano et al., 2022].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system addresses only </w:t>
      </w:r>
      <w:r>
        <w:rPr>
          <w:w w:val="98.87598037719727"/>
          <w:rFonts w:ascii="NimbusRomNo9L" w:hAnsi="NimbusRomNo9L" w:eastAsia="NimbusRomNo9L"/>
          <w:b w:val="0"/>
          <w:i w:val="0"/>
          <w:color w:val="000000"/>
          <w:sz w:val="20"/>
        </w:rPr>
        <w:t xml:space="preserve">the elbow joint, while PD can affect gait, posture, handwriting, and full-body coordination; the elbow remains the most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underrepresented joint in PD-specific research [Capato et al., 2023].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Finally, while the torque ceiling proved sufficient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tested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severity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late-stage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benefit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additional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torque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capacity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extended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training.</w:t>
      </w:r>
    </w:p>
    <w:p>
      <w:pPr>
        <w:autoSpaceDN w:val="0"/>
        <w:tabs>
          <w:tab w:pos="456" w:val="left"/>
        </w:tabs>
        <w:autoSpaceDE w:val="0"/>
        <w:widowControl/>
        <w:spacing w:line="198" w:lineRule="exact" w:before="322" w:after="0"/>
        <w:ind w:left="8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6.2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Future Work</w:t>
      </w:r>
    </w:p>
    <w:p>
      <w:pPr>
        <w:autoSpaceDN w:val="0"/>
        <w:autoSpaceDE w:val="0"/>
        <w:widowControl/>
        <w:spacing w:line="218" w:lineRule="exact" w:before="1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immediate next step is physical exoskeleton construction and clinical validation with real PD patients, using the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cloud pipeline confirmed viable 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930 ms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mean inference latency.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The three-phase framework can be extended to hip,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knee, and ankle joints for PD gait impairment, or adapted to other neurological conditions.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RLHF-based fine-tuning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using patient preference feedback on the timing and feel of assistance would allow post-deployment personalisation 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>without recalibration [Endrei et al., 2025].</w:t>
      </w:r>
      <w:r>
        <w:rPr>
          <w:w w:val="98.82577896118164"/>
          <w:rFonts w:ascii="NimbusRomNo9L" w:hAnsi="NimbusRomNo9L" w:eastAsia="NimbusRomNo9L"/>
          <w:b w:val="0"/>
          <w:i w:val="0"/>
          <w:color w:val="000000"/>
          <w:sz w:val="20"/>
        </w:rPr>
        <w:t xml:space="preserve">Finally, the monotonic relationship between severity and the policy’s reward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output—from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643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at Q1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at Q4—suggests that exoskeleton torque demand could serve as a continuous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12</w:t>
      </w:r>
    </w:p>
    <w:p>
      <w:pPr>
        <w:sectPr>
          <w:pgSz w:w="12240" w:h="15840"/>
          <w:pgMar w:top="322" w:right="138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23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728"/>
        <w:gridCol w:w="4728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20" w:lineRule="exact" w:before="354" w:after="0"/>
        <w:ind w:left="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proxy for PD severity, enabling passive longitudinal monitoring of disease progression through daily device use 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formal UPDRS examination.</w:t>
      </w:r>
    </w:p>
    <w:p>
      <w:pPr>
        <w:autoSpaceDN w:val="0"/>
        <w:tabs>
          <w:tab w:pos="364" w:val="left"/>
        </w:tabs>
        <w:autoSpaceDE w:val="0"/>
        <w:widowControl/>
        <w:spacing w:line="238" w:lineRule="exact" w:before="332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7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18" w:lineRule="exact" w:before="234" w:after="0"/>
        <w:ind w:left="6" w:right="86" w:hanging="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asked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whether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reinforcement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produce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autonomous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controller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that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real-time,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adaptive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mitigation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impairments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diverse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Three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outcomes characterise our answer.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The RecurrentPPO policy trained on combined PD symptoms achieved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494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 and </w:t>
      </w:r>
      <w:r>
        <w:rPr>
          <w:rFonts w:ascii="CMR10" w:hAnsi="CMR10" w:eastAsia="CMR10"/>
          <w:b w:val="0"/>
          <w:i w:val="0"/>
          <w:color w:val="000000"/>
          <w:sz w:val="20"/>
        </w:rPr>
        <w:t>88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goal achievement across 4 000 stratified episodes spanning the full PD severity spectrum, without recalibration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 patients.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Inference latency was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930 ms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mean across 1 000 timed forward passes—well below the control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period of typical upper-limb exoskeleton platforms—confirming viability for real-time deployment on lightweight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hardware.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 critically, the ablation study isolates the training environment as the mechanism of generalisability: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degeneration-only RecurrentPPO—representative of the current state-of-the-art approach of training exoskeletons 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muscle weakness alone—collapsed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211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reward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9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at the most severe patients, compared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 </w:t>
      </w:r>
      <w:r>
        <w:rPr>
          <w:rFonts w:ascii="CMR10" w:hAnsi="CMR10" w:eastAsia="CMR10"/>
          <w:b w:val="0"/>
          <w:i w:val="0"/>
          <w:color w:val="000000"/>
          <w:sz w:val="20"/>
        </w:rPr>
        <w:t>382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 the combined PD-trained policy at the same severity.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collapse, produced by architecturally identical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policies, shows that what the controller is trained on matters more than how it is built.</w:t>
      </w:r>
    </w:p>
    <w:p>
      <w:pPr>
        <w:autoSpaceDN w:val="0"/>
        <w:autoSpaceDE w:val="0"/>
        <w:widowControl/>
        <w:spacing w:line="218" w:lineRule="exact" w:before="110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ReGainX demonstrates that multi-agent RL training environments tailored to the full complexity of disease pathology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can produce exoskeleton policies that generalise across patients without per-session calibration.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novel three-phase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framework—healthy controller training, combined PD impairment simulation, and frozen-patient exoskeleton training—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is disease-agnostic and computationally tractable on consumer hardware, establishing a feasible and scalable blueprint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future ML-based assistive devices in progressive, complex neurological disease.</w:t>
      </w:r>
    </w:p>
    <w:p>
      <w:pPr>
        <w:autoSpaceDN w:val="0"/>
        <w:autoSpaceDE w:val="0"/>
        <w:widowControl/>
        <w:spacing w:line="238" w:lineRule="exact" w:before="332" w:after="0"/>
        <w:ind w:left="6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200" w:val="left"/>
        </w:tabs>
        <w:autoSpaceDE w:val="0"/>
        <w:widowControl/>
        <w:spacing w:line="218" w:lineRule="exact" w:before="124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Agostino, R. et al. (2015). Integrated robotics platform:</w:t>
      </w:r>
      <w:r>
        <w:rPr>
          <w:rFonts w:ascii="CMR10" w:hAnsi="CMR10" w:eastAsia="CMR10"/>
          <w:b w:val="0"/>
          <w:i w:val="0"/>
          <w:color w:val="000000"/>
          <w:sz w:val="20"/>
        </w:rPr>
        <w:t>41%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slower speed,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29%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shorter displacement off-medication.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PMC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6815040.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3" w:history="1">
          <w:r>
            <w:rPr>
              <w:rStyle w:val="Hyperlink"/>
            </w:rPr>
            <w:t>https://www.ncbi.nlm.nih.gov/pmc/articles/PMC6815040/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18" w:lineRule="exact" w:before="76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Akiba,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Sano,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Yanase,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Ohta,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Koyama,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(2019).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Optuna: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next-generation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hyperparameter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optimization framework. 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the 25th ACM SIGKDD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4" w:history="1">
          <w:r>
            <w:rPr>
              <w:rStyle w:val="Hyperlink"/>
            </w:rPr>
            <w:t>https://arxiv.org/abs/1907.10902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72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Caggiano, V., Wang, H., Durandau, G., Sartori, M., and Kumar, V. (2022). MyoSuite: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contact-rich simulation suite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musculoskeletal motor control. 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Proceedings of Machine Learning Research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5" w:history="1">
          <w:r>
            <w:rPr>
              <w:rStyle w:val="Hyperlink"/>
            </w:rPr>
            <w:t>https://proceedings.mlr.</w:t>
          </w:r>
        </w:hyperlink>
      </w:r>
    </w:p>
    <w:p>
      <w:pPr>
        <w:autoSpaceDN w:val="0"/>
        <w:autoSpaceDE w:val="0"/>
        <w:widowControl/>
        <w:spacing w:line="200" w:lineRule="exact" w:before="18" w:after="0"/>
        <w:ind w:left="206" w:right="0" w:firstLine="0"/>
        <w:jc w:val="left"/>
      </w:pPr>
      <w:r>
        <w:rPr>
          <w:rFonts w:ascii="F64" w:hAnsi="F64" w:eastAsia="F64"/>
          <w:b w:val="0"/>
          <w:i w:val="0"/>
          <w:color w:val="000000"/>
          <w:sz w:val="20"/>
        </w:rPr>
        <w:hyperlink r:id="rId25" w:history="1">
          <w:r>
            <w:rPr>
              <w:rStyle w:val="Hyperlink"/>
            </w:rPr>
            <w:t>press/v168/caggiano22a.html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18" w:lineRule="exact" w:before="74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Caligiuri, M.P. et al. (2018). Quantitative assessment of upper limb functional impairments in PD.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Gait &amp; Posture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60,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80–85.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6" w:history="1">
          <w:r>
            <w:rPr>
              <w:rStyle w:val="Hyperlink"/>
            </w:rPr>
            <w:t>https://www.sciencedirect.com/science/article/abs/pii/S0268003318303541</w:t>
          </w:r>
        </w:hyperlink>
      </w:r>
    </w:p>
    <w:p>
      <w:pPr>
        <w:autoSpaceDN w:val="0"/>
        <w:autoSpaceDE w:val="0"/>
        <w:widowControl/>
        <w:spacing w:line="218" w:lineRule="exact" w:before="76" w:after="0"/>
        <w:ind w:left="206" w:right="76" w:hanging="2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Capato, T.T.C. et al. (2023). Clinical assessment of upper limb impairments and functional capacity in Parkinson’s 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disease: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a systematic review.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Arquivos de Neuro-Psiquiatria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7" w:history="1">
          <w:r>
            <w:rPr>
              <w:rStyle w:val="Hyperlink"/>
            </w:rPr>
            <w:t xml:space="preserve">https://www.ncbi.nlm.nih.gov/pmc/articles/ </w:t>
          </w:r>
        </w:hyperlink>
      </w:r>
      <w:r>
        <w:rPr>
          <w:rFonts w:ascii="F64" w:hAnsi="F64" w:eastAsia="F64"/>
          <w:b w:val="0"/>
          <w:i w:val="0"/>
          <w:color w:val="000000"/>
          <w:sz w:val="20"/>
        </w:rPr>
        <w:hyperlink r:id="rId27" w:history="1">
          <w:r>
            <w:rPr>
              <w:rStyle w:val="Hyperlink"/>
            </w:rPr>
            <w:t>PMC10689111/</w:t>
          </w:r>
        </w:hyperlink>
      </w:r>
    </w:p>
    <w:p>
      <w:pPr>
        <w:autoSpaceDN w:val="0"/>
        <w:tabs>
          <w:tab w:pos="206" w:val="left"/>
          <w:tab w:pos="5958" w:val="left"/>
        </w:tabs>
        <w:autoSpaceDE w:val="0"/>
        <w:widowControl/>
        <w:spacing w:line="224" w:lineRule="exact" w:before="64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Chaudhuri,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K.R.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(2025).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Understanding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disease: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current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trends.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Frontiers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Aging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Neu-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roscience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28" w:history="1">
          <w:r>
            <w:rPr>
              <w:rStyle w:val="Hyperlink"/>
            </w:rPr>
            <w:t>https://www.frontiersin.org/journals/aging-neuroscience/articles/10.3389/fnagi.</w:t>
          </w:r>
        </w:hyperlink>
      </w:r>
    </w:p>
    <w:p>
      <w:pPr>
        <w:autoSpaceDN w:val="0"/>
        <w:autoSpaceDE w:val="0"/>
        <w:widowControl/>
        <w:spacing w:line="200" w:lineRule="exact" w:before="18" w:after="0"/>
        <w:ind w:left="206" w:right="0" w:firstLine="0"/>
        <w:jc w:val="left"/>
      </w:pPr>
      <w:r>
        <w:rPr>
          <w:rFonts w:ascii="F64" w:hAnsi="F64" w:eastAsia="F64"/>
          <w:b w:val="0"/>
          <w:i w:val="0"/>
          <w:color w:val="000000"/>
          <w:sz w:val="20"/>
        </w:rPr>
        <w:hyperlink r:id="rId28" w:history="1">
          <w:r>
            <w:rPr>
              <w:rStyle w:val="Hyperlink"/>
            </w:rPr>
            <w:t>2025.1617106/full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72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Cools,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A.M. et al. (2017). Normative values and affecting factors for the elbow range of motion.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Sports Medicine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29" w:history="1">
          <w:r>
            <w:rPr>
              <w:rStyle w:val="Hyperlink"/>
            </w:rPr>
            <w:t>https://www.researchgate.net/publication/319649172</w:t>
          </w:r>
        </w:hyperlink>
      </w:r>
    </w:p>
    <w:p>
      <w:pPr>
        <w:autoSpaceDN w:val="0"/>
        <w:autoSpaceDE w:val="0"/>
        <w:widowControl/>
        <w:spacing w:line="218" w:lineRule="exact" w:before="7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Dalla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Gasperina,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(2021).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patient-cooperative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control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upper-limb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rehabilitation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Frontiers in Robotics and 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0" w:history="1">
          <w:r>
            <w:rPr>
              <w:rStyle w:val="Hyperlink"/>
            </w:rPr>
            <w:t>https://www.ncbi.nlm.nih.gov/pmc/articles/PMC8688994/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16" w:lineRule="exact" w:before="78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Durandau,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G. et al. (2019). Neuromusculoskeletal controller for exoskeleton assistance. Referenced via MyoSuite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documentation [Caggiano et al., 2022].</w:t>
      </w:r>
    </w:p>
    <w:p>
      <w:pPr>
        <w:autoSpaceDN w:val="0"/>
        <w:tabs>
          <w:tab w:pos="194" w:val="left"/>
        </w:tabs>
        <w:autoSpaceDE w:val="0"/>
        <w:widowControl/>
        <w:spacing w:line="220" w:lineRule="exact" w:before="74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Endrei,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(2025).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Learning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suppress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tremors: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DRL-enabled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soft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patients.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Frontiers in Robotics and AI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1" w:history="1">
          <w:r>
            <w:rPr>
              <w:rStyle w:val="Hyperlink"/>
            </w:rPr>
            <w:t>https://www.frontiersin.org/journals/robotics-and-ai/articles/10.</w:t>
          </w:r>
        </w:hyperlink>
      </w:r>
    </w:p>
    <w:p>
      <w:pPr>
        <w:autoSpaceDN w:val="0"/>
        <w:autoSpaceDE w:val="0"/>
        <w:widowControl/>
        <w:spacing w:line="200" w:lineRule="exact" w:before="18" w:after="0"/>
        <w:ind w:left="206" w:right="0" w:firstLine="0"/>
        <w:jc w:val="left"/>
      </w:pPr>
      <w:r>
        <w:rPr>
          <w:rFonts w:ascii="F64" w:hAnsi="F64" w:eastAsia="F64"/>
          <w:b w:val="0"/>
          <w:i w:val="0"/>
          <w:color w:val="000000"/>
          <w:sz w:val="20"/>
        </w:rPr>
        <w:hyperlink r:id="rId31" w:history="1">
          <w:r>
            <w:rPr>
              <w:rStyle w:val="Hyperlink"/>
            </w:rPr>
            <w:t>3389/frobt.2025.1537470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70" w:after="0"/>
        <w:ind w:left="6" w:right="0" w:firstLine="0"/>
        <w:jc w:val="left"/>
      </w:pP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Fortunati, M. et al. (2024). Lower-limb exoskeletons for gait training in Parkinson’s disease: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state of the art.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Healthcare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2" w:history="1">
          <w:r>
            <w:rPr>
              <w:rStyle w:val="Hyperlink"/>
            </w:rPr>
            <w:t>https://pmc.ncbi.nlm.nih.gov/articles/PMC11353983/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18" w:lineRule="exact" w:before="76" w:after="0"/>
        <w:ind w:left="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Hart,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(2023).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Prevalence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sarcopenia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disease: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systematic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Neurological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Sciences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</w:t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3" w:history="1">
          <w:r>
            <w:rPr>
              <w:rStyle w:val="Hyperlink"/>
            </w:rPr>
            <w:t>https://www.ncbi.nlm.nih.gov/pmc/articles/PMC10641055/</w:t>
          </w:r>
        </w:hyperlink>
      </w:r>
    </w:p>
    <w:p>
      <w:pPr>
        <w:autoSpaceDN w:val="0"/>
        <w:tabs>
          <w:tab w:pos="206" w:val="left"/>
        </w:tabs>
        <w:autoSpaceDE w:val="0"/>
        <w:widowControl/>
        <w:spacing w:line="220" w:lineRule="exact" w:before="72" w:after="0"/>
        <w:ind w:left="6" w:right="0" w:firstLine="0"/>
        <w:jc w:val="left"/>
      </w:pP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Hirczy, S. et al. (2024). The current state of wearable device use in Parkinson’s disease:</w:t>
      </w:r>
      <w:r>
        <w:rPr>
          <w:w w:val="98.67501258850098"/>
          <w:rFonts w:ascii="NimbusRomNo9L" w:hAnsi="NimbusRomNo9L" w:eastAsia="NimbusRomNo9L"/>
          <w:b w:val="0"/>
          <w:i w:val="0"/>
          <w:color w:val="000000"/>
          <w:sz w:val="20"/>
        </w:rPr>
        <w:t>a survey.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4" w:history="1">
          <w:r>
            <w:rPr>
              <w:rStyle w:val="Hyperlink"/>
            </w:rPr>
            <w:t xml:space="preserve">https://www.ncbi.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4" w:history="1">
          <w:r>
            <w:rPr>
              <w:rStyle w:val="Hyperlink"/>
            </w:rPr>
            <w:t>nlm.nih.gov/pmc/articles/PMC11701158/</w:t>
          </w:r>
        </w:hyperlink>
      </w:r>
    </w:p>
    <w:p>
      <w:pPr>
        <w:autoSpaceDN w:val="0"/>
        <w:autoSpaceDE w:val="0"/>
        <w:widowControl/>
        <w:spacing w:line="200" w:lineRule="exact" w:before="396" w:after="0"/>
        <w:ind w:left="0" w:right="467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322" w:right="1350" w:bottom="398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00" w:lineRule="exact" w:before="0" w:after="20"/>
        <w:ind w:left="233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ReGainX: Adaptive Reinforcement Learning Exoskeletons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246"/>
        </w:trPr>
        <w:tc>
          <w:tcPr>
            <w:tcW w:type="dxa" w:w="7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 Real-Time Mitigation of Parkinson’s Motor Impairments</w:t>
            </w:r>
          </w:p>
        </w:tc>
        <w:tc>
          <w:tcPr>
            <w:tcW w:type="dxa" w:w="1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8"/>
              </w:rPr>
              <w:t>A P</w:t>
            </w:r>
            <w:r>
              <w:rPr>
                <w:w w:val="102.4728570665632"/>
                <w:rFonts w:ascii="NimbusRomNo9L" w:hAnsi="NimbusRomNo9L" w:eastAsia="NimbusRomNo9L"/>
                <w:b w:val="0"/>
                <w:i w:val="0"/>
                <w:color w:val="000000"/>
                <w:sz w:val="14"/>
              </w:rPr>
              <w:t>REPRINT</w:t>
            </w:r>
          </w:p>
        </w:tc>
      </w:tr>
    </w:tbl>
    <w:p>
      <w:pPr>
        <w:autoSpaceDN w:val="0"/>
        <w:autoSpaceDE w:val="0"/>
        <w:widowControl/>
        <w:spacing w:line="204" w:lineRule="exact" w:before="37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Ingram,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L.A.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(2021).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Quantifying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limb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impairment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people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disease.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PeerJ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5" w:history="1">
          <w:r>
            <w:rPr>
              <w:rStyle w:val="Hyperlink"/>
            </w:rPr>
            <w:t xml:space="preserve">https://pubmed.ncbi.nlm.nih.gov/33604177/ </w:t>
          </w:r>
        </w:hyperlink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Luo, S. et al. (2023). Robust walking control of a lower limb rehabilitation exoskeleton via DRL.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Journal of NeuroEngi-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neering and Rehabilitation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6" w:history="1">
          <w:r>
            <w:rPr>
              <w:rStyle w:val="Hyperlink"/>
            </w:rPr>
            <w:t xml:space="preserve">https://link.springer.com/article/10.1186/s12984-023-01147-2 </w:t>
          </w:r>
        </w:hyperlink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Luo, S. et al. (2024). Experiment-free exoskeleton assistance via learning in simulation.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Nature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>https://www.nature.</w:t>
          </w:r>
        </w:hyperlink>
      </w:r>
    </w:p>
    <w:p>
      <w:pPr>
        <w:autoSpaceDN w:val="0"/>
        <w:tabs>
          <w:tab w:pos="192" w:val="left"/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7" w:history="1">
          <w:r>
            <w:rPr>
              <w:rStyle w:val="Hyperlink"/>
            </w:rPr>
            <w:t xml:space="preserve">com/articles/s41586-024-07382-4 </w:t>
          </w:r>
        </w:hyperlink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Luo, S. et al. (2025). Robust neural network controller for a lower limb exoskeleton with minimal sensors.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Journal of Neu-</w:t>
      </w:r>
      <w:r>
        <w:tab/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roEngineering and Rehabilitation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8" w:history="1">
          <w:r>
            <w:rPr>
              <w:rStyle w:val="Hyperlink"/>
            </w:rPr>
            <w:t xml:space="preserve">https://link.springer.com/article/10.1186/s12984-025-01854-y </w:t>
          </w:r>
        </w:hyperlink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Supriyono,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Dragusanu,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Malvezzi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(2025).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Sensors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39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39" w:history="1">
          <w:r>
            <w:rPr>
              <w:rStyle w:val="Hyperlink"/>
            </w:rPr>
            <w:t xml:space="preserve">//www.mdpi.com/1424-8220/25/14/4263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Morrey,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B.F.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(1981).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Functional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range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motion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Journal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Bone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Joint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Surgery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0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0" w:history="1">
          <w:r>
            <w:rPr>
              <w:rStyle w:val="Hyperlink"/>
            </w:rPr>
            <w:t xml:space="preserve">//pubmed.ncbi.nlm.nih.gov/7775772/ </w:t>
          </w:r>
        </w:hyperlink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PMC (2022). Myoelectric control systems for upper limb wearable robotic exoskeletons.</w:t>
      </w:r>
      <w:r>
        <w:rPr>
          <w:w w:val="98.62470626831055"/>
          <w:rFonts w:ascii="NimbusRomNo9L" w:hAnsi="NimbusRomNo9L" w:eastAsia="NimbusRomNo9L"/>
          <w:b w:val="0"/>
          <w:i/>
          <w:color w:val="000000"/>
          <w:sz w:val="20"/>
        </w:rPr>
        <w:t xml:space="preserve"> Sensors</w:t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1" w:history="1">
          <w:r>
            <w:rPr>
              <w:rStyle w:val="Hyperlink"/>
            </w:rPr>
            <w:t>https://pmc.ncbi.</w:t>
          </w:r>
        </w:hyperlink>
      </w:r>
    </w:p>
    <w:p>
      <w:pPr>
        <w:autoSpaceDN w:val="0"/>
        <w:tabs>
          <w:tab w:pos="192" w:val="left"/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1" w:history="1">
          <w:r>
            <w:rPr>
              <w:rStyle w:val="Hyperlink"/>
            </w:rPr>
            <w:t xml:space="preserve">nlm.nih.gov/articles/PMC9655258/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 Foundation (2026). $82.2 billion economic burden.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2" w:history="1">
          <w:r>
            <w:rPr>
              <w:rStyle w:val="Hyperlink"/>
            </w:rPr>
            <w:t xml:space="preserve">https://www.parkinson.org/blog/research/ </w:t>
          </w:r>
        </w:hyperlink>
      </w:r>
      <w:r>
        <w:tab/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2" w:history="1">
          <w:r>
            <w:rPr>
              <w:rStyle w:val="Hyperlink"/>
            </w:rPr>
            <w:t xml:space="preserve">economic-burden-2024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Reicherzer,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(2024).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Barriers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facilitators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wearable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robots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assistive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devices.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3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3" w:history="1">
          <w:r>
            <w:rPr>
              <w:rStyle w:val="Hyperlink"/>
            </w:rPr>
            <w:t xml:space="preserve">//pmc.ncbi.nlm.nih.gov/articles/PMC11327840/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PMC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(2025).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LSTM-enabled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EMG-controlled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upper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exoskeleton.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4" w:history="1">
          <w:r>
            <w:rPr>
              <w:rStyle w:val="Hyperlink"/>
            </w:rPr>
            <w:t xml:space="preserve">https://pmc.ncbi.nlm.nih.gov/ </w:t>
          </w:r>
        </w:hyperlink>
      </w:r>
      <w:r>
        <w:tab/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4" w:history="1">
          <w:r>
            <w:rPr>
              <w:rStyle w:val="Hyperlink"/>
            </w:rPr>
            <w:t xml:space="preserve">articles/PMC11852623/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Carnevale, A. et al. (2025). Portable exoskeletons for upper limb rehabilitation: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systematic review.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5" w:history="1">
          <w:r>
            <w:rPr>
              <w:rStyle w:val="Hyperlink"/>
            </w:rPr>
            <w:t>https://pmc.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5" w:history="1">
          <w:r>
            <w:rPr>
              <w:rStyle w:val="Hyperlink"/>
            </w:rPr>
            <w:t xml:space="preserve">ncbi.nlm.nih.gov/articles/PMC12451468/ </w:t>
          </w:r>
        </w:hyperlink>
      </w:r>
      <w:r>
        <w:br/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PMC (2021). An ultra-low power surface EMG sensor for wearable applications.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6" w:history="1">
          <w:r>
            <w:rPr>
              <w:rStyle w:val="Hyperlink"/>
            </w:rPr>
            <w:t xml:space="preserve">https://pmc.ncbi.nlm.nih.gov/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6" w:history="1">
          <w:r>
            <w:rPr>
              <w:rStyle w:val="Hyperlink"/>
            </w:rPr>
            <w:t xml:space="preserve">articles/PMC8615488/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Ponsoni, A. et al. (2023). Prevalence of sarcopenia in PD: meta-analysis.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7" w:history="1">
          <w:r>
            <w:rPr>
              <w:rStyle w:val="Hyperlink"/>
            </w:rPr>
            <w:t xml:space="preserve">https://pubmed.ncbi.nlm.nih.gov/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7" w:history="1">
          <w:r>
            <w:rPr>
              <w:rStyle w:val="Hyperlink"/>
            </w:rPr>
            <w:t xml:space="preserve">36413812/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Raethjen, J. et al. (2018). Quantitative analysis of bradykinesia and rigidity in PD.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8" w:history="1">
          <w:r>
            <w:rPr>
              <w:rStyle w:val="Hyperlink"/>
            </w:rPr>
            <w:t>https://pmc.ncbi.nlm.nih.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8" w:history="1">
          <w:r>
            <w:rPr>
              <w:rStyle w:val="Hyperlink"/>
            </w:rPr>
            <w:t xml:space="preserve">gov/articles/PMC5853013/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Raffin, A. et al. (2021). Stable-Baselines3: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Reliable reinforcement learning implementations.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JMLR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49" w:history="1">
          <w:r>
            <w:rPr>
              <w:rStyle w:val="Hyperlink"/>
            </w:rPr>
            <w:t>https://jmlr.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49" w:history="1">
          <w:r>
            <w:rPr>
              <w:rStyle w:val="Hyperlink"/>
            </w:rPr>
            <w:t xml:space="preserve">org/papers/v22/20-1364.html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Raffin, A. and Kanervisto, A. (2023). SB3-Contrib: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Experimental RL code for Stable Baselines3.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0" w:history="1">
          <w:r>
            <w:rPr>
              <w:rStyle w:val="Hyperlink"/>
            </w:rPr>
            <w:t>https://github.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50" w:history="1">
          <w:r>
            <w:rPr>
              <w:rStyle w:val="Hyperlink"/>
            </w:rPr>
            <w:t xml:space="preserve">com/Stable-Baselines3/stable-baselines3-contrib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Ramesh,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Bilal,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(2022).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Detecting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motor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symptom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fluctuations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Parkinson’s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disease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with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generative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adversarial networks.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npj Digital Medicine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1" w:history="1">
          <w:r>
            <w:rPr>
              <w:rStyle w:val="Hyperlink"/>
            </w:rPr>
            <w:t xml:space="preserve">https://www.nature.com/articles/s41746-022-00674-x </w:t>
          </w:r>
        </w:hyperlink>
      </w:r>
      <w:r>
        <w:rPr>
          <w:w w:val="98.62470626831055"/>
          <w:rFonts w:ascii="NimbusRomNo9L" w:hAnsi="NimbusRomNo9L" w:eastAsia="NimbusRomNo9L"/>
          <w:b w:val="0"/>
          <w:i w:val="0"/>
          <w:color w:val="000000"/>
          <w:sz w:val="20"/>
        </w:rPr>
        <w:t>ResearchGate discussion (2023). How can I find a dataset of pathological EMG signals?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2" w:history="1">
          <w:r>
            <w:rPr>
              <w:rStyle w:val="Hyperlink"/>
            </w:rPr>
            <w:t>https://www.researchgate.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8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52" w:history="1">
          <w:r>
            <w:rPr>
              <w:rStyle w:val="Hyperlink"/>
            </w:rPr>
            <w:t xml:space="preserve">net/post/How_can_I_find_a_dataset_of_pathological_EMG_signals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arXiv (2025). AI-enabled detection and assessment of PD using multimodal data: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 survey.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3" w:history="1">
          <w:r>
            <w:rPr>
              <w:rStyle w:val="Hyperlink"/>
            </w:rPr>
            <w:t xml:space="preserve">https://arxiv.org/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53" w:history="1">
          <w:r>
            <w:rPr>
              <w:rStyle w:val="Hyperlink"/>
            </w:rPr>
            <w:t xml:space="preserve">html/2502.10703v1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Siciliano, M. et al. (2024). Fatigue in Parkinson’s disease: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pooled prevalence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50%.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4" w:history="1">
          <w:r>
            <w:rPr>
              <w:rStyle w:val="Hyperlink"/>
            </w:rPr>
            <w:t>https://pmc.ncbi.nlm.nih.</w:t>
          </w:r>
        </w:hyperlink>
      </w:r>
    </w:p>
    <w:p>
      <w:pPr>
        <w:autoSpaceDN w:val="0"/>
        <w:tabs>
          <w:tab w:pos="204" w:val="left"/>
        </w:tabs>
        <w:autoSpaceDE w:val="0"/>
        <w:widowControl/>
        <w:spacing w:line="252" w:lineRule="exact" w:before="0" w:after="0"/>
        <w:ind w:left="4" w:right="0" w:firstLine="0"/>
        <w:jc w:val="left"/>
      </w:pP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54" w:history="1">
          <w:r>
            <w:rPr>
              <w:rStyle w:val="Hyperlink"/>
            </w:rPr>
            <w:t xml:space="preserve">gov/articles/PMC11626731/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Supriyono,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Dragusanu,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M.,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Malvezzi,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(2025).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comprehensive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review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elbow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exoskeletons: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classifica-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 by structure, actuation, and sensing technologies.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Sensors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5" w:history="1">
          <w:r>
            <w:rPr>
              <w:rStyle w:val="Hyperlink"/>
            </w:rPr>
            <w:t xml:space="preserve">https://pmc.ncbi.nlm.nih.gov/articles/ </w:t>
          </w:r>
        </w:hyperlink>
      </w:r>
      <w:r>
        <w:tab/>
      </w:r>
      <w:r>
        <w:rPr>
          <w:rFonts w:ascii="F64" w:hAnsi="F64" w:eastAsia="F64"/>
          <w:b w:val="0"/>
          <w:i w:val="0"/>
          <w:color w:val="000000"/>
          <w:sz w:val="20"/>
        </w:rPr>
        <w:hyperlink r:id="rId55" w:history="1">
          <w:r>
            <w:rPr>
              <w:rStyle w:val="Hyperlink"/>
            </w:rPr>
            <w:t xml:space="preserve">PMC12299220/ </w:t>
          </w:r>
        </w:hyperlink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Wang, H., Caggiano, V. et al. (2022). MyoSim: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Fast and physiologically realistic MuJoCo models for musculoskeletal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exoskeletal studies. In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 IEEE ICRA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6" w:history="1">
          <w:r>
            <w:rPr>
              <w:rStyle w:val="Hyperlink"/>
            </w:rPr>
            <w:t xml:space="preserve">https://dl.acm.org/doi/10.1109/ICRA46639.2022.9811684 </w:t>
          </w:r>
        </w:hyperlink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Zajac, F.E. (1989). Muscle and tendon:</w:t>
      </w:r>
      <w:r>
        <w:rPr>
          <w:w w:val="98.9763069152832"/>
          <w:rFonts w:ascii="NimbusRomNo9L" w:hAnsi="NimbusRomNo9L" w:eastAsia="NimbusRomNo9L"/>
          <w:b w:val="0"/>
          <w:i w:val="0"/>
          <w:color w:val="000000"/>
          <w:sz w:val="20"/>
        </w:rPr>
        <w:t>properties, models, scaling, and application to biomechanics and motor control.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Critical Reviews in Biomedical Engineering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 17(4), 359–411.</w:t>
      </w:r>
      <w:r>
        <w:rPr>
          <w:rFonts w:ascii="F64" w:hAnsi="F64" w:eastAsia="F64"/>
          <w:b w:val="0"/>
          <w:i w:val="0"/>
          <w:color w:val="000000"/>
          <w:sz w:val="20"/>
        </w:rPr>
        <w:t xml:space="preserve"> </w:t>
      </w:r>
      <w:r>
        <w:rPr>
          <w:rFonts w:ascii="F64" w:hAnsi="F64" w:eastAsia="F64"/>
          <w:b w:val="0"/>
          <w:i w:val="0"/>
          <w:color w:val="000000"/>
          <w:sz w:val="20"/>
        </w:rPr>
        <w:hyperlink r:id="rId57" w:history="1">
          <w:r>
            <w:rPr>
              <w:rStyle w:val="Hyperlink"/>
            </w:rPr>
            <w:t>https://pubmed.ncbi.nlm.nih.gov/2676342/</w:t>
          </w:r>
        </w:hyperlink>
      </w:r>
    </w:p>
    <w:p>
      <w:pPr>
        <w:autoSpaceDN w:val="0"/>
        <w:autoSpaceDE w:val="0"/>
        <w:widowControl/>
        <w:spacing w:line="200" w:lineRule="exact" w:before="1368" w:after="0"/>
        <w:ind w:left="0" w:right="468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14</w:t>
      </w:r>
    </w:p>
    <w:sectPr w:rsidR="00FC693F" w:rsidRPr="0006063C" w:rsidSect="00034616">
      <w:pgSz w:w="12240" w:h="15840"/>
      <w:pgMar w:top="322" w:right="1348" w:bottom="39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erminalRocketship45/ReGain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yperlink" Target="https://www.ncbi.nlm.nih.gov/pmc/articles/PMC6815040/" TargetMode="External"/><Relationship Id="rId24" Type="http://schemas.openxmlformats.org/officeDocument/2006/relationships/hyperlink" Target="https://arxiv.org/abs/1907.10902" TargetMode="External"/><Relationship Id="rId25" Type="http://schemas.openxmlformats.org/officeDocument/2006/relationships/hyperlink" Target="https://proceedings.mlr.press/v168/caggiano22a.html" TargetMode="External"/><Relationship Id="rId26" Type="http://schemas.openxmlformats.org/officeDocument/2006/relationships/hyperlink" Target="https://www.sciencedirect.com/science/article/abs/pii/S0268003318303541" TargetMode="External"/><Relationship Id="rId27" Type="http://schemas.openxmlformats.org/officeDocument/2006/relationships/hyperlink" Target="https://www.ncbi.nlm.nih.gov/pmc/articles/PMC10689111/" TargetMode="External"/><Relationship Id="rId28" Type="http://schemas.openxmlformats.org/officeDocument/2006/relationships/hyperlink" Target="https://www.frontiersin.org/journals/aging-neuroscience/articles/10.3389/fnagi.2025.1617106/full" TargetMode="External"/><Relationship Id="rId29" Type="http://schemas.openxmlformats.org/officeDocument/2006/relationships/hyperlink" Target="https://www.researchgate.net/publication/319649172" TargetMode="External"/><Relationship Id="rId30" Type="http://schemas.openxmlformats.org/officeDocument/2006/relationships/hyperlink" Target="https://www.ncbi.nlm.nih.gov/pmc/articles/PMC8688994/" TargetMode="External"/><Relationship Id="rId31" Type="http://schemas.openxmlformats.org/officeDocument/2006/relationships/hyperlink" Target="https://www.frontiersin.org/journals/robotics-and-ai/articles/10.3389/frobt.2025.1537470" TargetMode="External"/><Relationship Id="rId32" Type="http://schemas.openxmlformats.org/officeDocument/2006/relationships/hyperlink" Target="https://pmc.ncbi.nlm.nih.gov/articles/PMC11353983/" TargetMode="External"/><Relationship Id="rId33" Type="http://schemas.openxmlformats.org/officeDocument/2006/relationships/hyperlink" Target="https://www.ncbi.nlm.nih.gov/pmc/articles/PMC10641055/" TargetMode="External"/><Relationship Id="rId34" Type="http://schemas.openxmlformats.org/officeDocument/2006/relationships/hyperlink" Target="https://www.ncbi.nlm.nih.gov/pmc/articles/PMC11701158/" TargetMode="External"/><Relationship Id="rId35" Type="http://schemas.openxmlformats.org/officeDocument/2006/relationships/hyperlink" Target="https://pubmed.ncbi.nlm.nih.gov/33604177/" TargetMode="External"/><Relationship Id="rId36" Type="http://schemas.openxmlformats.org/officeDocument/2006/relationships/hyperlink" Target="https://link.springer.com/article/10.1186/s12984-023-01147-2" TargetMode="External"/><Relationship Id="rId37" Type="http://schemas.openxmlformats.org/officeDocument/2006/relationships/hyperlink" Target="https://www.nature.com/articles/s41586-024-07382-4" TargetMode="External"/><Relationship Id="rId38" Type="http://schemas.openxmlformats.org/officeDocument/2006/relationships/hyperlink" Target="https://link.springer.com/article/10.1186/s12984-025-01854-y" TargetMode="External"/><Relationship Id="rId39" Type="http://schemas.openxmlformats.org/officeDocument/2006/relationships/hyperlink" Target="https://www.mdpi.com/1424-8220/25/14/4263" TargetMode="External"/><Relationship Id="rId40" Type="http://schemas.openxmlformats.org/officeDocument/2006/relationships/hyperlink" Target="https://pubmed.ncbi.nlm.nih.gov/7775772/" TargetMode="External"/><Relationship Id="rId41" Type="http://schemas.openxmlformats.org/officeDocument/2006/relationships/hyperlink" Target="https://pmc.ncbi.nlm.nih.gov/articles/PMC9655258/" TargetMode="External"/><Relationship Id="rId42" Type="http://schemas.openxmlformats.org/officeDocument/2006/relationships/hyperlink" Target="https://www.parkinson.org/blog/research/economic-burden-2024" TargetMode="External"/><Relationship Id="rId43" Type="http://schemas.openxmlformats.org/officeDocument/2006/relationships/hyperlink" Target="https://pmc.ncbi.nlm.nih.gov/articles/PMC11327840/" TargetMode="External"/><Relationship Id="rId44" Type="http://schemas.openxmlformats.org/officeDocument/2006/relationships/hyperlink" Target="https://pmc.ncbi.nlm.nih.gov/articles/PMC11852623/" TargetMode="External"/><Relationship Id="rId45" Type="http://schemas.openxmlformats.org/officeDocument/2006/relationships/hyperlink" Target="https://pmc.ncbi.nlm.nih.gov/articles/PMC12451468/" TargetMode="External"/><Relationship Id="rId46" Type="http://schemas.openxmlformats.org/officeDocument/2006/relationships/hyperlink" Target="https://pmc.ncbi.nlm.nih.gov/articles/PMC8615488/" TargetMode="External"/><Relationship Id="rId47" Type="http://schemas.openxmlformats.org/officeDocument/2006/relationships/hyperlink" Target="https://pubmed.ncbi.nlm.nih.gov/36413812/" TargetMode="External"/><Relationship Id="rId48" Type="http://schemas.openxmlformats.org/officeDocument/2006/relationships/hyperlink" Target="https://pmc.ncbi.nlm.nih.gov/articles/PMC5853013/" TargetMode="External"/><Relationship Id="rId49" Type="http://schemas.openxmlformats.org/officeDocument/2006/relationships/hyperlink" Target="https://jmlr.org/papers/v22/20-1364.html" TargetMode="External"/><Relationship Id="rId50" Type="http://schemas.openxmlformats.org/officeDocument/2006/relationships/hyperlink" Target="https://github.com/Stable-Baselines3/stable-baselines3-contrib" TargetMode="External"/><Relationship Id="rId51" Type="http://schemas.openxmlformats.org/officeDocument/2006/relationships/hyperlink" Target="https://www.nature.com/articles/s41746-022-00674-x" TargetMode="External"/><Relationship Id="rId52" Type="http://schemas.openxmlformats.org/officeDocument/2006/relationships/hyperlink" Target="https://www.researchgate.net/post/How_can_I_find_a_dataset_of_pathological_EMG_signals" TargetMode="External"/><Relationship Id="rId53" Type="http://schemas.openxmlformats.org/officeDocument/2006/relationships/hyperlink" Target="https://arxiv.org/html/2502.10703v1" TargetMode="External"/><Relationship Id="rId54" Type="http://schemas.openxmlformats.org/officeDocument/2006/relationships/hyperlink" Target="https://pmc.ncbi.nlm.nih.gov/articles/PMC11626731/" TargetMode="External"/><Relationship Id="rId55" Type="http://schemas.openxmlformats.org/officeDocument/2006/relationships/hyperlink" Target="https://pmc.ncbi.nlm.nih.gov/articles/PMC12299220/" TargetMode="External"/><Relationship Id="rId56" Type="http://schemas.openxmlformats.org/officeDocument/2006/relationships/hyperlink" Target="https://dl.acm.org/doi/10.1109/ICRA46639.2022.9811684" TargetMode="External"/><Relationship Id="rId57" Type="http://schemas.openxmlformats.org/officeDocument/2006/relationships/hyperlink" Target="https://pubmed.ncbi.nlm.nih.gov/26763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