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Perspective article | evidence-based pharmacological perspective</w:t>
      </w:r>
    </w:p>
    <w:p>
      <w:pPr>
        <w:spacing w:after="40"/>
        <w:jc w:val="center"/>
      </w:pPr>
      <w:r>
        <w:t>Daniel C. McShan</w:t>
      </w:r>
    </w:p>
    <w:p>
      <w:pPr>
        <w:spacing w:after="40"/>
        <w:jc w:val="center"/>
      </w:pPr>
      <w:r>
        <w:t>Terpedia, LLC</w:t>
      </w:r>
    </w:p>
    <w:p>
      <w:pPr>
        <w:spacing w:after="40"/>
        <w:jc w:val="center"/>
      </w:pPr>
      <w:r>
        <w:t>ORCID: 0000-0003-3880-1711</w:t>
      </w:r>
    </w:p>
    <w:p>
      <w:pPr>
        <w:spacing w:after="40"/>
        <w:jc w:val="center"/>
      </w:pPr>
      <w:r>
        <w:t>Running title: Terpene receptor hypotheses</w:t>
      </w:r>
    </w:p>
    <w:p>
      <w:pPr>
        <w:spacing w:after="40"/>
        <w:jc w:val="center"/>
      </w:pPr>
      <w:r>
        <w:t>Text pages: 11 | Tables: 1 | Figures: 0 | References: 13</w:t>
      </w:r>
    </w:p>
    <w:p>
      <w:pPr>
        <w:spacing w:after="40"/>
        <w:jc w:val="center"/>
      </w:pPr>
      <w:r>
        <w:t>Abstract: 153 words | Introduction: 118 words | Discussion: 1,009 words</w:t>
      </w:r>
    </w:p>
    <w:p>
      <w:pPr>
        <w:spacing w:after="40"/>
        <w:jc w:val="center"/>
      </w:pPr>
      <w:r>
        <w:t>Abbreviations: CB1, CB2, D2, E0–E4, GABA-A, nAChR, TRPV1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matrix; the permitted conclusions are summarized in Table 1:</w:t>
      </w:r>
    </w:p>
    <w:p>
      <w:pPr/>
      <w:r>
        <w:rPr>
          <w:b/>
        </w:rPr>
        <w:t>Table 1. Evidence ladder for compound–target interpretation.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rPr>
          <w:i/>
        </w:rPr>
        <w:t>Abbreviations:</w:t>
      </w:r>
      <w:r>
        <w:t xml:space="preserve"> E0–E4, evidence ladder levels 0 through 4.</w:t>
      </w: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 xml:space="preserve">All 109 retained an </w:t>
      </w:r>
      <w:r>
        <w:t>effect_support_status</w:t>
      </w:r>
      <w:r>
        <w:t xml:space="preserve"> of </w:t>
      </w:r>
      <w:r>
        <w:t>unresolved</w:t>
      </w:r>
      <w:r>
        <w:t>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[4], while borneol modulated human recombinant</w:t>
      </w:r>
    </w:p>
    <w:p>
      <w:pPr/>
      <w:r>
        <w:t>α1β2γ2L GABA-A receptors [5]. These findings make sedation, anxiety, and</w:t>
      </w:r>
    </w:p>
    <w:p>
      <w:pPr/>
      <w:r>
        <w:t>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 Separate mouse studies of borneol reported bounded</w:t>
      </w:r>
    </w:p>
    <w:p>
      <w:pPr/>
      <w:r>
        <w:t>hyperalgesia and anxiety-related phenotypes [9,10], and linalool altered</w:t>
      </w:r>
    </w:p>
    <w:p>
      <w:pPr/>
      <w:r>
        <w:t>respiratory-neuron activity in a rat brainstem preparation [11].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The formulation-specific nanoparticle evidence does not establish free-terpene</w:t>
      </w:r>
    </w:p>
    <w:p>
      <w:pPr/>
      <w:r>
        <w:t>pharmacology [13].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/>
      <w:r>
        <w:t>Supporting Information Tables S1–S4 provide the machine-readable claims–terpene</w:t>
      </w:r>
    </w:p>
    <w:p>
      <w:pPr/>
      <w:r>
        <w:t>matrix, receptor hypothesis map, prioritized hypotheses-to-test table, and</w:t>
      </w:r>
    </w:p>
    <w:p>
      <w:pPr/>
      <w:r>
        <w:t>derived hypothesis register, respectively. These files are supplied with the</w:t>
      </w:r>
    </w:p>
    <w:p>
      <w:pPr/>
      <w:r>
        <w:t>submission and preserve row-level provenance; they are not independent claims</w:t>
      </w:r>
    </w:p>
    <w:p>
      <w:pPr/>
      <w:r>
        <w:t>of efficacy.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 Natl Acad Sci U S A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 Neuropsychopharmacol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 Pharmacol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 Chem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 Pharmacol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 (Austin)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 J Pharmacol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 Biophys Res Commun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 Res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 (Basel)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 J Pharm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