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/>
    <w:p>
      <w:r>
        <w:t>Dear Editors,</w:t>
      </w:r>
    </w:p>
    <w:p/>
    <w:p>
      <w:r>
        <w:t>Please consider our perspective article, “Terpene effect claims: an evidence-bounded</w:t>
      </w:r>
    </w:p>
    <w:p>
      <w:r>
        <w:t xml:space="preserve">receptor hypothesis map,” for </w:t>
      </w:r>
      <w:r>
        <w:rPr>
          <w:i/>
        </w:rPr>
        <w:t>Pharmacology Research &amp; Perspectives</w:t>
      </w:r>
      <w:r>
        <w:t>.</w:t>
      </w:r>
    </w:p>
    <w:p/>
    <w:p>
      <w:r>
        <w:t>Terpene effect tables frequently collapse chemical identity, protein</w:t>
      </w:r>
    </w:p>
    <w:p>
      <w:r>
        <w:t>interaction, receptor function, biological phenotype, and translational</w:t>
      </w:r>
    </w:p>
    <w:p>
      <w:r>
        <w:t>efficacy into a single label. We present a reproducible pharmacology-first</w:t>
      </w:r>
    </w:p>
    <w:p>
      <w:r>
        <w:t>framework that converts a Terpedia promotional matrix into 109 marked</w:t>
      </w:r>
    </w:p>
    <w:p>
      <w:r>
        <w:t>compound–effect hypotheses and links them to identity-aware receptor evidence.</w:t>
      </w:r>
    </w:p>
    <w:p>
      <w:r>
        <w:t>The work explicitly separates compound-level target pharmacology from</w:t>
      </w:r>
    </w:p>
    <w:p>
      <w:r>
        <w:t>effect-level support, preserves unresolved hypotheses, and provides a</w:t>
      </w:r>
    </w:p>
    <w:p>
      <w:r>
        <w:t>prioritized experimental plan with controls and interpretation boundaries.</w:t>
      </w:r>
    </w:p>
    <w:p/>
    <w:p>
      <w:r>
        <w:t>The evidence-based pharmacological perspective is intended to inform new pharmacological hypotheses and target</w:t>
      </w:r>
    </w:p>
    <w:p>
      <w:r>
        <w:t>validation. Its principal conclusion is deliberately conservative: receptor</w:t>
      </w:r>
    </w:p>
    <w:p>
      <w:r>
        <w:t>evidence can prioritize experiments, but it does not establish a promotional</w:t>
      </w:r>
    </w:p>
    <w:p>
      <w:r>
        <w:t>effect without effect-specific, identity-resolved, exposure-relevant</w:t>
      </w:r>
    </w:p>
    <w:p>
      <w:r>
        <w:t>validation. The manuscript is supported by versioned machine-readable data and</w:t>
      </w:r>
    </w:p>
    <w:p>
      <w:r>
        <w:t>code, including a 109-row claims–terpene matrix and a 14-row experimental test</w:t>
      </w:r>
    </w:p>
    <w:p>
      <w:r>
        <w:t>plan.</w:t>
      </w:r>
    </w:p>
    <w:p/>
    <w:p>
      <w:r>
        <w:t>This submission is original and has not been published or submitted elsewhere</w:t>
      </w:r>
    </w:p>
    <w:p>
      <w:r>
        <w:t>[TO CONFIRM]. All authors approve the final manuscript and agree to take</w:t>
      </w:r>
    </w:p>
    <w:p>
      <w:r>
        <w:t>responsibility for the work [TO CONFIRM]. Relevant conflicts and funding are</w:t>
      </w:r>
    </w:p>
    <w:p>
      <w:r>
        <w:t>disclosed in the submission materials.</w:t>
      </w:r>
    </w:p>
    <w:p/>
    <w:p>
      <w:r>
        <w:t>We believe the manuscript fits the journal’s interest in pharmacological</w:t>
      </w:r>
    </w:p>
    <w:p>
      <w:r>
        <w:t>hypotheses, mechanism of action, target identification, translational</w:t>
      </w:r>
    </w:p>
    <w:p>
      <w:r>
        <w:t>pharmacology, and replication-oriented work. The manuscript is an evidence-based</w:t>
      </w:r>
    </w:p>
    <w:p>
      <w:r>
        <w:t>pharmacological perspective rather than a comprehensive systematic review; we</w:t>
      </w:r>
    </w:p>
    <w:p>
      <w:r>
        <w:t>would welcome the editors’ guidance if a different article classification is</w:t>
      </w:r>
    </w:p>
    <w:p>
      <w:r>
        <w:t>preferred.</w:t>
      </w:r>
    </w:p>
    <w:p/>
    <w:p>
      <w:r>
        <w:t>Sincerely,</w:t>
      </w:r>
    </w:p>
    <w:p/>
    <w:p>
      <w:r>
        <w:t>Daniel C. McShan</w:t>
      </w:r>
    </w:p>
    <w:p>
      <w:r>
        <w:t>Terpedia, LLC</w:t>
      </w:r>
    </w:p>
    <w:p>
      <w:r>
        <w:t>dan@terpedia.com</w:t>
      </w:r>
    </w:p>
    <w:p/>
    <w:p>
      <w:r>
        <w:t>Susan Trapp’s affiliation, contact information, ORCID, competing interests,</w:t>
      </w:r>
    </w:p>
    <w:p>
      <w:r>
        <w:t>and final contribution confirmation remain [TO CONFIRM].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