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Terpene effect claims: an evidence-bounded receptor hypothesis map</w:t>
      </w:r>
    </w:p>
    <w:p>
      <w:pPr>
        <w:spacing w:after="40"/>
        <w:jc w:val="center"/>
      </w:pPr>
      <w:r>
        <w:t>Perspective manuscript</w:t>
      </w:r>
    </w:p>
    <w:p>
      <w:pPr>
        <w:spacing w:after="40"/>
        <w:jc w:val="center"/>
      </w:pPr>
      <w:r>
        <w:t>Daniel C. McShan</w:t>
      </w:r>
    </w:p>
    <w:p>
      <w:pPr>
        <w:spacing w:after="40"/>
        <w:jc w:val="center"/>
      </w:pPr>
      <w:r>
        <w:t>Terpedia, LLC</w:t>
      </w:r>
    </w:p>
    <w:p>
      <w:pPr>
        <w:spacing w:after="40"/>
        <w:jc w:val="center"/>
      </w:pPr>
      <w:r>
        <w:t>ORCID: 0000-0003-3880-1711</w:t>
      </w:r>
    </w:p>
    <w:p>
      <w:pPr>
        <w:spacing w:after="40"/>
        <w:jc w:val="center"/>
      </w:pPr>
      <w:r>
        <w:t>Running title: Terpene receptor hypotheses</w:t>
      </w:r>
    </w:p>
    <w:p/>
    <w:p>
      <w:r>
        <w:rPr>
          <w:b/>
        </w:rPr>
        <w:t xml:space="preserve">Keywords: </w:t>
      </w:r>
      <w:r>
        <w:t>terpenes; receptor pharmacology; evidence grading; structure–function</w:t>
      </w:r>
    </w:p>
    <w:p>
      <w:pPr/>
      <w:r>
        <w:t>hypotheses; translational pharmacology; reproducibility; claim auditing</w:t>
      </w:r>
    </w:p>
    <w:p>
      <w:pPr>
        <w:pStyle w:val="Heading1"/>
      </w:pPr>
      <w:r>
        <w:t>Abstract</w:t>
      </w:r>
    </w:p>
    <w:p>
      <w:pPr/>
      <w:r>
        <w:t>Promotional terpene tables often present biological effects as if they were</w:t>
      </w:r>
    </w:p>
    <w:p>
      <w:pPr/>
      <w:r>
        <w:t>properties of a compound. We reinterpreted one Terpedia promotional matrix as</w:t>
      </w:r>
    </w:p>
    <w:p>
      <w:pPr/>
      <w:r>
        <w:t>109 marked effect hypotheses spanning 16 compounds, drawn from 17 explicitly</w:t>
      </w:r>
    </w:p>
    <w:p>
      <w:pPr/>
      <w:r>
        <w:t>named terpene columns,</w:t>
      </w:r>
    </w:p>
    <w:p>
      <w:pPr/>
      <w:r>
        <w:t>then linked those hypotheses to a receptor-oriented literature map. The</w:t>
      </w:r>
    </w:p>
    <w:p>
      <w:pPr/>
      <w:r>
        <w:t>analysis preserves stereochemical labels, separates direct receptor</w:t>
      </w:r>
    </w:p>
    <w:p>
      <w:pPr/>
      <w:r>
        <w:t>pharmacology from animal mechanism studies and computational predictions, and</w:t>
      </w:r>
    </w:p>
    <w:p>
      <w:pPr/>
      <w:r>
        <w:t>does not treat missing database joins as evidence of inactivity. Fifty-nine</w:t>
      </w:r>
    </w:p>
    <w:p>
      <w:pPr/>
      <w:r>
        <w:t>hypothesis rows involved compounds with direct receptor-pharmacology evidence</w:t>
      </w:r>
    </w:p>
    <w:p>
      <w:pPr/>
      <w:r>
        <w:t>at the compound level, while 14 rows had only indirect mechanistic or</w:t>
      </w:r>
    </w:p>
    <w:p>
      <w:pPr/>
      <w:r>
        <w:t>computational support. Only seven hypothesis rows had an existing local Terpedia receptor-evidence</w:t>
      </w:r>
    </w:p>
    <w:p>
      <w:pPr/>
      <w:r>
        <w:t>link, all involving linalool and a GABA-A receptor complex. No promotional</w:t>
      </w:r>
    </w:p>
    <w:p>
      <w:pPr/>
      <w:r>
        <w:t>effect was classified as fully supported because the current evidence map does</w:t>
      </w:r>
    </w:p>
    <w:p>
      <w:pPr/>
      <w:r>
        <w:t>not yet provide effect-specific, identity-resolved validation for those rows.</w:t>
      </w:r>
    </w:p>
    <w:p>
      <w:pPr/>
      <w:r>
        <w:t>The resulting matrix is therefore a prioritization tool for structure–function</w:t>
      </w:r>
    </w:p>
    <w:p>
      <w:pPr/>
      <w:r>
        <w:t>research, not an efficacy catalogue.</w:t>
      </w:r>
    </w:p>
    <w:p>
      <w:pPr>
        <w:pStyle w:val="Heading1"/>
      </w:pPr>
      <w:r>
        <w:t>1. Introduction</w:t>
      </w:r>
    </w:p>
    <w:p>
      <w:pPr/>
      <w:r>
        <w:t>Terpenes are commonly associated with broad labels such as “anti-inflammatory,”</w:t>
      </w:r>
    </w:p>
    <w:p>
      <w:pPr/>
      <w:r>
        <w:t>“sedative,” “analgesic,” or “neuroprotective.” Such labels can be useful as</w:t>
      </w:r>
    </w:p>
    <w:p>
      <w:pPr/>
      <w:r>
        <w:t>search terms, but they collapse several distinct propositions: that a defined</w:t>
      </w:r>
    </w:p>
    <w:p>
      <w:pPr/>
      <w:r>
        <w:t>chemical identity is present; that it reaches a relevant biological system;</w:t>
      </w:r>
    </w:p>
    <w:p>
      <w:pPr/>
      <w:r>
        <w:t>that it interacts with a named protein; that the interaction changes receptor</w:t>
      </w:r>
    </w:p>
    <w:p>
      <w:pPr/>
      <w:r>
        <w:t>or channel function; and that the resulting mechanism explains a measured</w:t>
      </w:r>
    </w:p>
    <w:p>
      <w:pPr/>
      <w:r>
        <w:t>phenotype at a relevant exposure.</w:t>
      </w:r>
    </w:p>
    <w:p>
      <w:pPr/>
      <w:r>
        <w:t>This study treats promotional claims as hypotheses and asks a narrower</w:t>
      </w:r>
    </w:p>
    <w:p>
      <w:pPr/>
      <w:r>
        <w:t>question: which protein or receptor mechanisms are plausible starting points</w:t>
      </w:r>
    </w:p>
    <w:p>
      <w:pPr/>
      <w:r>
        <w:t>for testing them? The distinction matters because target evidence is not</w:t>
      </w:r>
    </w:p>
    <w:p>
      <w:pPr/>
      <w:r>
        <w:t>equivalent to efficacy evidence, and a null join in a database is not a</w:t>
      </w:r>
    </w:p>
    <w:p>
      <w:pPr/>
      <w:r>
        <w:t>biological negative.</w:t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Promotional hypothesis source</w:t>
      </w:r>
    </w:p>
    <w:p>
      <w:pPr/>
      <w:r>
        <w:t>We used the Terpedia Google Sheet snapshot dated 26 June 2026. Its matrix</w:t>
      </w:r>
    </w:p>
    <w:p>
      <w:pPr/>
      <w:r>
        <w:t>contains effect labels in rows, terpene labels in columns, source counts, and</w:t>
      </w:r>
    </w:p>
    <w:p>
      <w:pPr/>
      <w:r>
        <w:t>“x” marks indicating an association. We converted each marked cell into a</w:t>
      </w:r>
    </w:p>
    <w:p>
      <w:pPr/>
      <w:r>
        <w:t>unique hypothesis identified by a stable local ID. The resulting register has</w:t>
      </w:r>
    </w:p>
    <w:p>
      <w:pPr/>
      <w:r>
        <w:t>109 marked compound–effect rows across 16 compounds. The source header contains</w:t>
      </w:r>
    </w:p>
    <w:p>
      <w:pPr/>
      <w:r>
        <w:t>17 named compounds, but l-limonene has no marked cells and therefore contributes</w:t>
      </w:r>
    </w:p>
    <w:p>
      <w:pPr/>
      <w:r>
        <w:t>no hypothesis row.</w:t>
      </w:r>
    </w:p>
    <w:p>
      <w:pPr>
        <w:pStyle w:val="Heading2"/>
      </w:pPr>
      <w:r>
        <w:t>2.2 Identity and evidence policy</w:t>
      </w:r>
    </w:p>
    <w:p>
      <w:pPr/>
      <w:r>
        <w:t>α-pinene, β-pinene, d-limonene, and l-limonene were retained as separate</w:t>
      </w:r>
    </w:p>
    <w:p>
      <w:pPr/>
      <w:r>
        <w:t>labels. A receptor association was accepted only as a literature lead when the</w:t>
      </w:r>
    </w:p>
    <w:p>
      <w:pPr/>
      <w:r>
        <w:t>source named the compound or a clearly defined stereoisomer. Receptor evidence</w:t>
      </w:r>
    </w:p>
    <w:p>
      <w:pPr/>
      <w:r>
        <w:t>was classified as: (i) direct binding and functional receptor pharmacology;</w:t>
      </w:r>
    </w:p>
    <w:p>
      <w:pPr/>
      <w:r>
        <w:t>(ii) functional receptor pharmacology in recombinant or heterologous systems</w:t>
      </w:r>
    </w:p>
    <w:p>
      <w:pPr/>
      <w:r>
        <w:t>without in-vivo validation; (iii) animal or tissue mechanism studies without</w:t>
      </w:r>
    </w:p>
    <w:p>
      <w:pPr/>
      <w:r>
        <w:t>direct binding; (iv) computational or network-based nomination; (v)</w:t>
      </w:r>
    </w:p>
    <w:p>
      <w:pPr/>
      <w:r>
        <w:t>phenotype-only evidence; (vi) sensory-only evidence; or (vii) unresolved.</w:t>
      </w:r>
    </w:p>
    <w:p>
      <w:pPr/>
      <w:r>
        <w:t>These tiers describe compound–target evidence, not support for the effect label.</w:t>
      </w:r>
    </w:p>
    <w:p>
      <w:pPr/>
      <w:r>
        <w:t>The evidence boundary for every row is: “receptor association does not</w:t>
      </w:r>
    </w:p>
    <w:p>
      <w:pPr/>
      <w:r>
        <w:t>establish efficacy, causality, dose–response, or human relevance.” Missing</w:t>
      </w:r>
    </w:p>
    <w:p>
      <w:pPr/>
      <w:r>
        <w:t>structure joins and missing target records were recorded as unresolved rather</w:t>
      </w:r>
    </w:p>
    <w:p>
      <w:pPr/>
      <w:r>
        <w:t>than inactive.</w:t>
      </w:r>
    </w:p>
    <w:p>
      <w:pPr>
        <w:pStyle w:val="Heading2"/>
      </w:pPr>
      <w:r>
        <w:t>2.3 Terpedia crosswalk</w:t>
      </w:r>
    </w:p>
    <w:p>
      <w:pPr/>
      <w:r>
        <w:t>The local Terpedia evidence layer was checked against the receptor interactome</w:t>
      </w:r>
    </w:p>
    <w:p>
      <w:pPr/>
      <w:r>
        <w:t>and available protein/structure projections. A local receptor-evidence link</w:t>
      </w:r>
    </w:p>
    <w:p>
      <w:pPr/>
      <w:r>
        <w:t>means that a compound–protein association exists in the current Terpedia</w:t>
      </w:r>
    </w:p>
    <w:p>
      <w:pPr/>
      <w:r>
        <w:t>evidence set; it does not mean that the promotional effect is validated. The</w:t>
      </w:r>
    </w:p>
    <w:p>
      <w:pPr/>
      <w:r>
        <w:t>literature pass was targeted and hypothesis-generating, not a registered</w:t>
      </w:r>
    </w:p>
    <w:p>
      <w:pPr/>
      <w:r>
        <w:t>systematic review, so absence from this map is not evidence of absence from</w:t>
      </w:r>
    </w:p>
    <w:p>
      <w:pPr/>
      <w:r>
        <w:t>PubMed or biology.</w:t>
      </w:r>
    </w:p>
    <w:p>
      <w:pPr>
        <w:pStyle w:val="Heading2"/>
      </w:pPr>
      <w:r>
        <w:t>2.4 Support definitions</w:t>
      </w:r>
    </w:p>
    <w:p>
      <w:pPr/>
      <w:r>
        <w:t>We reserve “supported effect” for an identity-resolved study that measures the</w:t>
      </w:r>
    </w:p>
    <w:p>
      <w:pPr/>
      <w:r>
        <w:t>specific effect, identifies an appropriate biological context, and provides an</w:t>
      </w:r>
    </w:p>
    <w:p>
      <w:pPr/>
      <w:r>
        <w:t>evidence chain adequate to the scope of the claim. A receptor mechanism alone</w:t>
      </w:r>
    </w:p>
    <w:p>
      <w:pPr/>
      <w:r>
        <w:t>is “mechanistically relevant,” not “effect supported.” The unit of the 59/109</w:t>
      </w:r>
    </w:p>
    <w:p>
      <w:pPr/>
      <w:r>
        <w:t>and 14/109 summaries is a hypothesis row, so the same compound-level paper can</w:t>
      </w:r>
    </w:p>
    <w:p>
      <w:pPr/>
      <w:r>
        <w:t>appear in multiple effect rows and must not be interpreted as independent</w:t>
      </w:r>
    </w:p>
    <w:p>
      <w:pPr/>
      <w:r>
        <w:t>replication.</w:t>
      </w:r>
    </w:p>
    <w:p>
      <w:pPr/>
      <w:r>
        <w:t>We used the following non-exclusive evidence ladder when interpreting the</w:t>
      </w:r>
    </w:p>
    <w:p>
      <w:pPr/>
      <w:r>
        <w:t>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Permitted conclusion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E0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No compound-specific evidence in the current map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Target/effect remains unresolved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E1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Sensory, phenotype-only, docking, or network nomination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Prioritizes testing; does not establish a target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E2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Animal, tissue, or antagonist-supported mechanism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Supports a bounded mechanism in the tested model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E3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Recombinant or heterologous functional receptor pharmacology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6FA"/>
          </w:tcPr>
          <w:p>
            <w:pPr>
              <w:spacing w:after="40"/>
            </w:pPr>
            <w:r>
              <w:rPr>
                <w:sz w:val="18"/>
              </w:rPr>
              <w:t>Supports compound–target function under the assay conditions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E4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Direct binding plus functional target evidence, with effect-specific validation</w:t>
            </w:r>
          </w:p>
        </w:tc>
        <w:tc>
          <w:tcPr>
            <w:tcW w:type="dxa" w:w="3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/>
            </w:pPr>
            <w:r>
              <w:rPr>
                <w:sz w:val="18"/>
              </w:rPr>
              <w:t>Supports only the measured effect and scope</w:t>
            </w:r>
          </w:p>
        </w:tc>
      </w:tr>
    </w:tbl>
    <w:p>
      <w:pPr>
        <w:spacing w:after="40"/>
      </w:pPr>
    </w:p>
    <w:p>
      <w:pPr/>
      <w:r>
        <w:t>The current manuscript reports E3/E4 compound-level evidence separately from</w:t>
      </w:r>
    </w:p>
    <w:p>
      <w:pPr/>
      <w:r>
        <w:t>effect-level support. No row meets the E4 definition for the promotional effect</w:t>
      </w:r>
    </w:p>
    <w:p>
      <w:pPr/>
      <w:r>
        <w:t>itself.</w:t>
      </w:r>
    </w:p>
    <w:p>
      <w:pPr>
        <w:pStyle w:val="Heading1"/>
      </w:pPr>
      <w:r>
        <w:t>3. Results</w:t>
      </w:r>
    </w:p>
    <w:p>
      <w:pPr>
        <w:pStyle w:val="Heading2"/>
      </w:pPr>
      <w:r>
        <w:t>3.1 Overall support profile</w:t>
      </w:r>
    </w:p>
    <w:p>
      <w:pPr/>
      <w:r>
        <w:t>Of the 109 hypothesis rows, 59 were attached to compounds with direct receptor</w:t>
      </w:r>
    </w:p>
    <w:p>
      <w:pPr/>
      <w:r>
        <w:t>pharmacology somewhere in the literature map, and 14 rows had indirect</w:t>
      </w:r>
    </w:p>
    <w:p>
      <w:pPr/>
      <w:r>
        <w:t>mechanistic or computational support. Seven rows had an existing local</w:t>
      </w:r>
    </w:p>
    <w:p>
      <w:pPr/>
      <w:r>
        <w:t>Terpedia receptor link.</w:t>
      </w:r>
    </w:p>
    <w:p>
      <w:pPr/>
      <w:r>
        <w:t>All 109 retained an `effect_support_status` of `unresolved`, because the map</w:t>
      </w:r>
    </w:p>
    <w:p>
      <w:pPr/>
      <w:r>
        <w:t>does not yet connect each effect label to an identity-resolved, appropriately</w:t>
      </w:r>
    </w:p>
    <w:p>
      <w:pPr/>
      <w:r>
        <w:t>scoped assay or clinical outcome.</w:t>
      </w:r>
    </w:p>
    <w:p>
      <w:pPr>
        <w:pStyle w:val="Heading2"/>
      </w:pPr>
      <w:r>
        <w:t>3.2 Stronger receptor-mechanism leads</w:t>
      </w:r>
    </w:p>
    <w:p>
      <w:pPr/>
      <w:r>
        <w:t>β-caryophyllene is the clearest immune and nociceptive lead. It has reported</w:t>
      </w:r>
    </w:p>
    <w:p>
      <w:pPr/>
      <w:r>
        <w:t>binding and functional agonism at CB2 [1], and CB2-dependent analgesic effects</w:t>
      </w:r>
    </w:p>
    <w:p>
      <w:pPr/>
      <w:r>
        <w:t>have been reported in mouse models [2]. These results support a testable CB2-mediated</w:t>
      </w:r>
    </w:p>
    <w:p>
      <w:pPr/>
      <w:r>
        <w:t>mechanism; they do not validate every anti-inflammatory, analgesic, or</w:t>
      </w:r>
    </w:p>
    <w:p>
      <w:pPr/>
      <w:r>
        <w:t>neuroprotective label in the promotional matrix.</w:t>
      </w:r>
    </w:p>
    <w:p>
      <w:pPr/>
      <w:r>
        <w:t>α-pinene, linalool, and borneol provide convergent GABA-A hypotheses, but with</w:t>
      </w:r>
    </w:p>
    <w:p>
      <w:pPr/>
      <w:r>
        <w:t>different identities, receptor contexts, and exposure questions. α-pinene was</w:t>
      </w:r>
    </w:p>
    <w:p>
      <w:pPr/>
      <w:r>
        <w:t>reported to potentiate GABA-A-mediated synaptic responses in brain slices and</w:t>
      </w:r>
    </w:p>
    <w:p>
      <w:pPr/>
      <w:r>
        <w:t>to show flumazenil-sensitive effects in a mouse sleep model; the proposed</w:t>
      </w:r>
    </w:p>
    <w:p>
      <w:pPr/>
      <w:r>
        <w:t>benzodiazepine-site interaction was supported by molecular modeling rather</w:t>
      </w:r>
    </w:p>
    <w:p>
      <w:pPr/>
      <w:r>
        <w:t>than a direct biophysical binding assay [3]. Linalool enhanced GABA-A currents</w:t>
      </w:r>
    </w:p>
    <w:p>
      <w:pPr/>
      <w:r>
        <w:t>in recombinant systems [4] and altered respiratory-neuron activity in a rat</w:t>
      </w:r>
    </w:p>
    <w:p>
      <w:pPr/>
      <w:r>
        <w:t>brainstem preparation [11], while borneol modulated human recombinant</w:t>
      </w:r>
    </w:p>
    <w:p>
      <w:pPr/>
      <w:r>
        <w:t>α1β2γ2L GABA-A receptors [5] and produced bounded mouse hyperalgesia and</w:t>
      </w:r>
    </w:p>
    <w:p>
      <w:pPr/>
      <w:r>
        <w:t>anxiety-related phenotypes in separate studies [9,10]. These findings make</w:t>
      </w:r>
    </w:p>
    <w:p>
      <w:pPr/>
      <w:r>
        <w:t>sedation, anxiety, and nociception useful</w:t>
      </w:r>
    </w:p>
    <w:p>
      <w:pPr/>
      <w:r>
        <w:t>follow-up domains, not established human effects.</w:t>
      </w:r>
    </w:p>
    <w:p>
      <w:pPr/>
      <w:r>
        <w:t>α-bisabolol supports two distinct lines of inquiry: direct inhibition of the</w:t>
      </w:r>
    </w:p>
    <w:p>
      <w:pPr/>
      <w:r>
        <w:t>α7 nicotinic acetylcholine receptor [6] and antagonist-sensitive behavioral</w:t>
      </w:r>
    </w:p>
    <w:p>
      <w:pPr/>
      <w:r>
        <w:t>evidence implicating GABA-A signaling. These should not be merged into a</w:t>
      </w:r>
    </w:p>
    <w:p>
      <w:pPr/>
      <w:r>
        <w:t>single mechanism without experiments that discriminate them.</w:t>
      </w:r>
    </w:p>
    <w:p>
      <w:pPr/>
      <w:r>
        <w:t>Myrcene and nerolidol are plausible TRPV1 leads from heterologous human-TRPV1</w:t>
      </w:r>
    </w:p>
    <w:p>
      <w:pPr/>
      <w:r>
        <w:t>expression experiments, not native human pain studies [7]. The related nanoparticle</w:t>
      </w:r>
    </w:p>
    <w:p>
      <w:pPr/>
      <w:r>
        <w:t>literature is formulation-specific and cannot be read as proof of free-terpene</w:t>
      </w:r>
    </w:p>
    <w:p>
      <w:pPr/>
      <w:r>
        <w:t>pharmacology [13]. Terpineol is a weaker CB1/CB2/D2 hypothesis because its current</w:t>
      </w:r>
    </w:p>
    <w:p>
      <w:pPr/>
      <w:r>
        <w:t>support comes from mouse antagonist experiments and docking rather than direct</w:t>
      </w:r>
    </w:p>
    <w:p>
      <w:pPr/>
      <w:r>
        <w:t>receptor binding [8].</w:t>
      </w:r>
    </w:p>
    <w:p>
      <w:pPr>
        <w:pStyle w:val="Heading2"/>
      </w:pPr>
      <w:r>
        <w:t>3.3 Unresolved and misleading target categories</w:t>
      </w:r>
    </w:p>
    <w:p>
      <w:pPr/>
      <w:r>
        <w:t>Several compounds remain without compound-specific human receptor evidence in</w:t>
      </w:r>
    </w:p>
    <w:p>
      <w:pPr/>
      <w:r>
        <w:t>this first pass, including d-limonene, l-limonene, fenchol, and terpinolene.</w:t>
      </w:r>
    </w:p>
    <w:p>
      <w:pPr/>
      <w:r>
        <w:t>Humulene has plausible immune and nociceptive target families but no resolved</w:t>
      </w:r>
    </w:p>
    <w:p>
      <w:pPr/>
      <w:r>
        <w:t>target in the present map. Caryophyllene oxide has a reported mouse sedative</w:t>
      </w:r>
    </w:p>
    <w:p>
      <w:pPr/>
      <w:r>
        <w:t>phenotype [12], while one study did not support a GABA-A potentiation mechanism;</w:t>
      </w:r>
    </w:p>
    <w:p>
      <w:pPr/>
      <w:r>
        <w:t>the target therefore remains unresolved.</w:t>
      </w:r>
    </w:p>
    <w:p>
      <w:pPr/>
      <w:r>
        <w:t>Insect odorant-receptor findings for ocimene and caryophyllene oxide are valid</w:t>
      </w:r>
    </w:p>
    <w:p>
      <w:pPr/>
      <w:r>
        <w:t>sensory biology but are not evidence for human therapeutic receptor targets.</w:t>
      </w:r>
    </w:p>
    <w:p>
      <w:pPr/>
      <w:r>
        <w:t>Similarly, a docking score or a network-pharmacology edge is a prioritization</w:t>
      </w:r>
    </w:p>
    <w:p>
      <w:pPr/>
      <w:r>
        <w:t>signal, not a demonstrated interaction.</w:t>
      </w:r>
    </w:p>
    <w:p>
      <w:pPr>
        <w:pStyle w:val="Heading1"/>
      </w:pPr>
      <w:r>
        <w:t>4. Discussion</w:t>
      </w:r>
    </w:p>
    <w:p>
      <w:pPr/>
      <w:r>
        <w:t>The matrix shows why “how many claims are supported?” has more than one answer.</w:t>
      </w:r>
    </w:p>
    <w:p>
      <w:pPr/>
      <w:r>
        <w:t>At the receptor-mechanism level, 59 hypothesis rows inherit direct</w:t>
      </w:r>
    </w:p>
    <w:p>
      <w:pPr/>
      <w:r>
        <w:t>compound-level pharmacology and 14 inherit weaker mechanistic leads. At the</w:t>
      </w:r>
    </w:p>
    <w:p>
      <w:pPr/>
      <w:r>
        <w:t>strict promotional-effect level, none is yet fully supported in this dataset.</w:t>
      </w:r>
    </w:p>
    <w:p>
      <w:pPr/>
      <w:r>
        <w:t>The difference is</w:t>
      </w:r>
    </w:p>
    <w:p>
      <w:pPr/>
      <w:r>
        <w:t>not a failure of receptor biology; it is a consequence of preserving the</w:t>
      </w:r>
    </w:p>
    <w:p>
      <w:pPr/>
      <w:r>
        <w:t>logical steps between molecular interaction and phenotype.</w:t>
      </w:r>
    </w:p>
    <w:p>
      <w:pPr/>
      <w:r>
        <w:t>The present study is not a quantitative structure–activity relationship</w:t>
      </w:r>
    </w:p>
    <w:p>
      <w:pPr/>
      <w:r>
        <w:t>analysis: it does not calculate descriptors, cluster scaffolds, or estimate</w:t>
      </w:r>
    </w:p>
    <w:p>
      <w:pPr/>
      <w:r>
        <w:t>structure-dependent potency. Its contribution is an identity-safe evidence</w:t>
      </w:r>
    </w:p>
    <w:p>
      <w:pPr/>
      <w:r>
        <w:t>architecture. Follow-up structure–function analysis should proceed as a staged graph:</w:t>
      </w:r>
    </w:p>
    <w:p>
      <w:pPr/>
      <w:r>
        <w:t>identity → structure → protein target → receptor function → tissue or animal</w:t>
      </w:r>
    </w:p>
    <w:p>
      <w:pPr/>
      <w:r>
        <w:t>phenotype → exposure-relevant effect. Each edge needs its own source, assay</w:t>
      </w:r>
    </w:p>
    <w:p>
      <w:pPr/>
      <w:r>
        <w:t>context, species, concentration, stereochemical scope, and uncertainty label.</w:t>
      </w:r>
    </w:p>
    <w:p>
      <w:pPr/>
      <w:r>
        <w:t>This structure also makes negative results interpretable: “no join found” may</w:t>
      </w:r>
    </w:p>
    <w:p>
      <w:pPr/>
      <w:r>
        <w:t>reflect representation, release coverage, or identity mismatch rather than</w:t>
      </w:r>
    </w:p>
    <w:p>
      <w:pPr/>
      <w:r>
        <w:t>absence of activity.</w:t>
      </w:r>
    </w:p>
    <w:p>
      <w:pPr>
        <w:pStyle w:val="Heading2"/>
      </w:pPr>
      <w:r>
        <w:t>A pharmacology-first interpretation framework</w:t>
      </w:r>
    </w:p>
    <w:p>
      <w:pPr/>
      <w:r>
        <w:t>The central unit of analysis is not the terpene name alone, but the</w:t>
      </w:r>
    </w:p>
    <w:p>
      <w:pPr/>
      <w:r>
        <w:t>compound–target–endpoint tuple. For example, “linalool is sedative” is too</w:t>
      </w:r>
    </w:p>
    <w:p>
      <w:pPr/>
      <w:r>
        <w:t>coarse to evaluate. A pharmacologically interpretable proposition would specify</w:t>
      </w:r>
    </w:p>
    <w:p>
      <w:pPr/>
      <w:r>
        <w:t>the linalool identity and stereochemical scope, the GABA-A receptor composition,</w:t>
      </w:r>
    </w:p>
    <w:p>
      <w:pPr/>
      <w:r>
        <w:t>the experimental preparation, the concentration range, the measured current or</w:t>
      </w:r>
    </w:p>
    <w:p>
      <w:pPr/>
      <w:r>
        <w:t>behavioral endpoint, and whether the exposure is achievable in the relevant</w:t>
      </w:r>
    </w:p>
    <w:p>
      <w:pPr/>
      <w:r>
        <w:t>organism. The same compound may have different actions at different</w:t>
      </w:r>
    </w:p>
    <w:p>
      <w:pPr/>
      <w:r>
        <w:t>concentrations, receptor subtypes, metabolites, or preparations.</w:t>
      </w:r>
    </w:p>
    <w:p>
      <w:pPr/>
      <w:r>
        <w:t>This tuple-based approach prevents two common errors. First, evidence for a</w:t>
      </w:r>
    </w:p>
    <w:p>
      <w:pPr/>
      <w:r>
        <w:t>target is not copied across unrelated endpoints. A linalool experiment that</w:t>
      </w:r>
    </w:p>
    <w:p>
      <w:pPr/>
      <w:r>
        <w:t>potentiates GABA-A current supports a receptor-function statement; it does not</w:t>
      </w:r>
    </w:p>
    <w:p>
      <w:pPr/>
      <w:r>
        <w:t>by itself support anxiolysis, anticonvulsant efficacy, analgesia, or clinical</w:t>
      </w:r>
    </w:p>
    <w:p>
      <w:pPr/>
      <w:r>
        <w:t>sedation. Second, evidence for one stereoisomer is not silently generalized to</w:t>
      </w:r>
    </w:p>
    <w:p>
      <w:pPr/>
      <w:r>
        <w:t>another. This is particularly important for pinene and limonene labels, for</w:t>
      </w:r>
    </w:p>
    <w:p>
      <w:pPr/>
      <w:r>
        <w:t>which the promotional source uses distinct names but does not consistently</w:t>
      </w:r>
    </w:p>
    <w:p>
      <w:pPr/>
      <w:r>
        <w:t>provide a complete stereochemical specification.</w:t>
      </w:r>
    </w:p>
    <w:p>
      <w:pPr>
        <w:pStyle w:val="Heading2"/>
      </w:pPr>
      <w:r>
        <w:t>Evidence extraction and reproducibility</w:t>
      </w:r>
    </w:p>
    <w:p>
      <w:pPr/>
      <w:r>
        <w:t>Each literature record should be extracted into a row-level evidence object</w:t>
      </w:r>
    </w:p>
    <w:p>
      <w:pPr/>
      <w:r>
        <w:t>with at least the following fields: compound label as published; normalized</w:t>
      </w:r>
    </w:p>
    <w:p>
      <w:pPr/>
      <w:r>
        <w:t>identity; stereochemistry; target gene or stable protein identifier; species;</w:t>
      </w:r>
    </w:p>
    <w:p>
      <w:pPr/>
      <w:r>
        <w:t>cell or tissue preparation; assay type; concentration and units; exposure</w:t>
      </w:r>
    </w:p>
    <w:p>
      <w:pPr/>
      <w:r>
        <w:t>route; direction of effect; comparator; antagonist or genetic control; source</w:t>
      </w:r>
    </w:p>
    <w:p>
      <w:pPr/>
      <w:r>
        <w:t>identifier; and the authors’ stated limitation. A missing field is not silently</w:t>
      </w:r>
    </w:p>
    <w:p>
      <w:pPr/>
      <w:r>
        <w:t>filled from a different paper. Instead, it receives an unresolved status.</w:t>
      </w:r>
    </w:p>
    <w:p>
      <w:pPr/>
      <w:r>
        <w:t>The present map applies this principle at a first-pass level. It preserves</w:t>
      </w:r>
    </w:p>
    <w:p>
      <w:pPr/>
      <w:r>
        <w:t>PubMed identifiers and source URLs for the receptor leads, while the linked</w:t>
      </w:r>
    </w:p>
    <w:p>
      <w:pPr/>
      <w:r>
        <w:t>CSV matrix preserves the relationship between every promotional row and its</w:t>
      </w:r>
    </w:p>
    <w:p>
      <w:pPr/>
      <w:r>
        <w:t>compound-level evidence tier. The data products are intentionally more granular</w:t>
      </w:r>
    </w:p>
    <w:p>
      <w:pPr/>
      <w:r>
        <w:t>than the prose: readers can inspect the 109 rows, identify which rows inherit</w:t>
      </w:r>
    </w:p>
    <w:p>
      <w:pPr/>
      <w:r>
        <w:t>the same compound-level paper, and distinguish a direct receptor result from an</w:t>
      </w:r>
    </w:p>
    <w:p>
      <w:pPr/>
      <w:r>
        <w:t>animal antagonist experiment or an in-silico nomination.</w:t>
      </w:r>
    </w:p>
    <w:p>
      <w:pPr/>
      <w:r>
        <w:t>For a subsequent systematic update, two reviewers should independently screen</w:t>
      </w:r>
    </w:p>
    <w:p>
      <w:pPr/>
      <w:r>
        <w:t>title/abstract records and resolve disagreements before full-text extraction.</w:t>
      </w:r>
    </w:p>
    <w:p>
      <w:pPr/>
      <w:r>
        <w:t>Searches should be rerun by compound and effect using PubMed, Europe PMC, and</w:t>
      </w:r>
    </w:p>
    <w:p>
      <w:pPr/>
      <w:r>
        <w:t>the primary target or assay database where appropriate. The search date,</w:t>
      </w:r>
    </w:p>
    <w:p>
      <w:pPr/>
      <w:r>
        <w:t>complete query strings, deduplication procedure, exclusion reasons, and final</w:t>
      </w:r>
    </w:p>
    <w:p>
      <w:pPr/>
      <w:r>
        <w:t>included-record list should be versioned with the matrix. This would allow the</w:t>
      </w:r>
    </w:p>
    <w:p>
      <w:pPr/>
      <w:r>
        <w:t>map to move from a targeted perspective to a reproducible systematic evidence</w:t>
      </w:r>
    </w:p>
    <w:p>
      <w:pPr/>
      <w:r>
        <w:t>review without changing its conservative claim policy.</w:t>
      </w:r>
    </w:p>
    <w:p>
      <w:pPr>
        <w:pStyle w:val="Heading2"/>
      </w:pPr>
      <w:r>
        <w:t>Translational pharmacology and exposure</w:t>
      </w:r>
    </w:p>
    <w:p>
      <w:pPr/>
      <w:r>
        <w:t>Receptor potency is necessary but not sufficient for translational plausibility.</w:t>
      </w:r>
    </w:p>
    <w:p>
      <w:pPr/>
      <w:r>
        <w:t>The relevant comparison is between the free concentration at the target site</w:t>
      </w:r>
    </w:p>
    <w:p>
      <w:pPr/>
      <w:r>
        <w:t>and the concentration producing the measured receptor effect, with attention to</w:t>
      </w:r>
    </w:p>
    <w:p>
      <w:pPr/>
      <w:r>
        <w:t>absorption, metabolism, protein binding, tissue distribution, and volatility.</w:t>
      </w:r>
    </w:p>
    <w:p>
      <w:pPr/>
      <w:r>
        <w:t>Plant or beverage composition data describe an administered matrix, not the</w:t>
      </w:r>
    </w:p>
    <w:p>
      <w:pPr/>
      <w:r>
        <w:t>unbound plasma or brain concentration of an isolated terpene. Likewise, a dose</w:t>
      </w:r>
    </w:p>
    <w:p>
      <w:pPr/>
      <w:r>
        <w:t>that produces a mouse behavioral effect cannot be compared directly with an</w:t>
      </w:r>
    </w:p>
    <w:p>
      <w:pPr/>
      <w:r>
        <w:t>in-vitro EC50 without considering route, bioavailability, species metabolism,</w:t>
      </w:r>
    </w:p>
    <w:p>
      <w:pPr/>
      <w:r>
        <w:t>and active metabolites.</w:t>
      </w:r>
    </w:p>
    <w:p>
      <w:pPr/>
      <w:r>
        <w:t>The experimental plan therefore prioritizes concentration–response curves,</w:t>
      </w:r>
    </w:p>
    <w:p>
      <w:pPr/>
      <w:r>
        <w:t>orthogonal receptor assays, antagonist or knockout controls, and basic</w:t>
      </w:r>
    </w:p>
    <w:p>
      <w:pPr/>
      <w:r>
        <w:t>pharmacokinetic measurements. For behavioral studies, locomotor and motor</w:t>
      </w:r>
    </w:p>
    <w:p>
      <w:pPr/>
      <w:r>
        <w:t>coordination controls are required so that apparent anxiolysis, sedation, or</w:t>
      </w:r>
    </w:p>
    <w:p>
      <w:pPr/>
      <w:r>
        <w:t>analgesia is not explained by nonspecific impairment. For inflammatory or</w:t>
      </w:r>
    </w:p>
    <w:p>
      <w:pPr/>
      <w:r>
        <w:t>antimicrobial claims, receptor assays should be supplemented by cell-based or</w:t>
      </w:r>
    </w:p>
    <w:p>
      <w:pPr/>
      <w:r>
        <w:t>microbial endpoints rather than assumed to be the causal route.</w:t>
      </w:r>
    </w:p>
    <w:p>
      <w:pPr>
        <w:pStyle w:val="Heading2"/>
      </w:pPr>
      <w:r>
        <w:t>What would change a claim grade?</w:t>
      </w:r>
    </w:p>
    <w:p>
      <w:pPr/>
      <w:r>
        <w:t>A claim should move from unresolved to mechanistically relevant when a</w:t>
      </w:r>
    </w:p>
    <w:p>
      <w:pPr/>
      <w:r>
        <w:t>compound-specific effect is reproduced in an appropriate preparation and a</w:t>
      </w:r>
    </w:p>
    <w:p>
      <w:pPr/>
      <w:r>
        <w:t>selective pharmacological or genetic intervention changes the endpoint. It</w:t>
      </w:r>
    </w:p>
    <w:p>
      <w:pPr/>
      <w:r>
        <w:t>should move to direct target evidence when binding or validated functional</w:t>
      </w:r>
    </w:p>
    <w:p>
      <w:pPr/>
      <w:r>
        <w:t>receptor data establish the interaction under defined conditions. It should</w:t>
      </w:r>
    </w:p>
    <w:p>
      <w:pPr/>
      <w:r>
        <w:t>move to effect-supported only when the named promotional endpoint is measured</w:t>
      </w:r>
    </w:p>
    <w:p>
      <w:pPr/>
      <w:r>
        <w:t>with adequate controls, identity, dose–response, and context. Replication in a</w:t>
      </w:r>
    </w:p>
    <w:p>
      <w:pPr/>
      <w:r>
        <w:t>second preparation or laboratory should increase confidence, but should not</w:t>
      </w:r>
    </w:p>
    <w:p>
      <w:pPr/>
      <w:r>
        <w:t>erase limitations in exposure or clinical generalizability.</w:t>
      </w:r>
    </w:p>
    <w:p>
      <w:pPr/>
      <w:r>
        <w:t>This grading scheme also permits negative and mixed findings to be useful. A</w:t>
      </w:r>
    </w:p>
    <w:p>
      <w:pPr/>
      <w:r>
        <w:t>failed binding assay may demote a target while leaving a non-receptor mechanism</w:t>
      </w:r>
    </w:p>
    <w:p>
      <w:pPr/>
      <w:r>
        <w:t>open. Antagonist blockade may support a pathway without proving direct binding.</w:t>
      </w:r>
    </w:p>
    <w:p>
      <w:pPr/>
      <w:r>
        <w:t>A positive result in a recombinant system may establish receptor capability</w:t>
      </w:r>
    </w:p>
    <w:p>
      <w:pPr/>
      <w:r>
        <w:t>without showing that the compound reaches that receptor in vivo. These are not</w:t>
      </w:r>
    </w:p>
    <w:p>
      <w:pPr/>
      <w:r>
        <w:t>inconsistencies; they are different edges in the evidence graph.</w:t>
      </w:r>
    </w:p>
    <w:p>
      <w:pPr>
        <w:pStyle w:val="Heading2"/>
      </w:pPr>
      <w:r>
        <w:t>4.1 Relevance to pharmacology practice</w:t>
      </w:r>
    </w:p>
    <w:p>
      <w:pPr/>
      <w:r>
        <w:t>This framework is intended for researchers, curators, and reviewers who must</w:t>
      </w:r>
    </w:p>
    <w:p>
      <w:pPr/>
      <w:r>
        <w:t>decide whether a broad natural-product statement is ready to become a testable</w:t>
      </w:r>
    </w:p>
    <w:p>
      <w:pPr/>
      <w:r>
        <w:t>pharmacological proposition. It makes the evidentiary bottleneck visible: the</w:t>
      </w:r>
    </w:p>
    <w:p>
      <w:pPr/>
      <w:r>
        <w:t>largest gap is often not finding a possible target, but connecting a chemically</w:t>
      </w:r>
    </w:p>
    <w:p>
      <w:pPr/>
      <w:r>
        <w:t>defined ligand to a reproducible endpoint under a plausible exposure. The</w:t>
      </w:r>
    </w:p>
    <w:p>
      <w:pPr/>
      <w:r>
        <w:t>resulting queue can guide assay selection, replication priorities, and the</w:t>
      </w:r>
    </w:p>
    <w:p>
      <w:pPr/>
      <w:r>
        <w:t>design of data systems that retain negative and unresolved results. In this</w:t>
      </w:r>
    </w:p>
    <w:p>
      <w:pPr/>
      <w:r>
        <w:t>respect, the contribution is methodological and translational rather than a</w:t>
      </w:r>
    </w:p>
    <w:p>
      <w:pPr/>
      <w:r>
        <w:t>claim that any one terpene is a therapeutic agent. It is aligned with a</w:t>
      </w:r>
    </w:p>
    <w:p>
      <w:pPr/>
      <w:r>
        <w:t>pharmacology perspective format because it uses existing observations to</w:t>
      </w:r>
    </w:p>
    <w:p>
      <w:pPr/>
      <w:r>
        <w:t>define new, falsifiable target and mechanism hypotheses while identifying the</w:t>
      </w:r>
    </w:p>
    <w:p>
      <w:pPr/>
      <w:r>
        <w:t>experiments required for validation.</w:t>
      </w:r>
    </w:p>
    <w:p>
      <w:pPr>
        <w:pStyle w:val="Heading1"/>
      </w:pPr>
      <w:r>
        <w:t>5. Limitations and next experiments</w:t>
      </w:r>
    </w:p>
    <w:p>
      <w:pPr/>
      <w:r>
        <w:t>The promotional source is a secondary matrix with uneven source counts and no</w:t>
      </w:r>
    </w:p>
    <w:p>
      <w:pPr/>
      <w:r>
        <w:t>assay-level definitions. The literature pass is not a systematic review, and</w:t>
      </w:r>
    </w:p>
    <w:p>
      <w:pPr/>
      <w:r>
        <w:t>the current receptor map is not exhaustive. Several rows use broad compound</w:t>
      </w:r>
    </w:p>
    <w:p>
      <w:pPr/>
      <w:r>
        <w:t>names whose stereochemistry, purity, or metabolite identity may differ from</w:t>
      </w:r>
    </w:p>
    <w:p>
      <w:pPr/>
      <w:r>
        <w:t>the tested material. Beverage or plant-matrix concentrations cannot substitute</w:t>
      </w:r>
    </w:p>
    <w:p>
      <w:pPr/>
      <w:r>
        <w:t>for unbound plasma or brain exposure.</w:t>
      </w:r>
    </w:p>
    <w:p>
      <w:pPr/>
      <w:r>
        <w:t>The next release should: (1) attach every hypothesis to primary citations;</w:t>
      </w:r>
    </w:p>
    <w:p>
      <w:pPr/>
      <w:r>
        <w:t>(2) resolve exact structures and stereoisomers; (3) map receptor records to</w:t>
      </w:r>
    </w:p>
    <w:p>
      <w:pPr/>
      <w:r>
        <w:t>stable protein identifiers; (4) distinguish binding, functional, docking, and</w:t>
      </w:r>
    </w:p>
    <w:p>
      <w:pPr/>
      <w:r>
        <w:t>phenotype evidence; and (5) test the highest-priority compound–receptor pairs</w:t>
      </w:r>
    </w:p>
    <w:p>
      <w:pPr/>
      <w:r>
        <w:t>in identity-resolved assays with concentration–response measurements. The</w:t>
      </w:r>
    </w:p>
    <w:p>
      <w:pPr/>
      <w:r>
        <w:t>prioritized plan below operationalizes those requirements.</w:t>
      </w:r>
    </w:p>
    <w:p>
      <w:pPr>
        <w:pStyle w:val="Heading2"/>
      </w:pPr>
      <w:r>
        <w:t>5.1 Prioritized test plan</w:t>
      </w:r>
    </w:p>
    <w:p>
      <w:pPr/>
      <w:r>
        <w:t>The machine-readable test plan is in</w:t>
      </w:r>
    </w:p>
    <w:p>
      <w:pPr/>
      <w:r>
        <w:rPr>
          <w:color w:val="1F4E79"/>
          <w:u w:val="single"/>
        </w:rPr>
        <w:t>`data/hypotheses-to-test.csv`</w:t>
      </w:r>
      <w:r>
        <w:t>. It converts</w:t>
      </w:r>
    </w:p>
    <w:p>
      <w:pPr/>
      <w:r>
        <w:t>the literature leads into 14 falsifiable experiments with critical controls,</w:t>
      </w:r>
    </w:p>
    <w:p>
      <w:pPr/>
      <w:r>
        <w:t>primary endpoints, and interpretation rules. Six high-priority rows test</w:t>
      </w:r>
    </w:p>
    <w:p>
      <w:pPr/>
      <w:r>
        <w:t>β-caryophyllene–CB2, α-pinene–GABA-A, linalool–GABA-A, borneol–GABA-A,</w:t>
      </w:r>
    </w:p>
    <w:p>
      <w:pPr/>
      <w:r>
        <w:t>α-bisabolol–α7 nAChR, and β-myrcene–TRPV1. Medium-priority rows address</w:t>
      </w:r>
    </w:p>
    <w:p>
      <w:pPr/>
      <w:r>
        <w:t>α-bisabolol–GABA-A, nerolidol–TRPV1, terpineol–CB1/CB2/D2, limonene</w:t>
      </w:r>
    </w:p>
    <w:p>
      <w:pPr/>
      <w:r>
        <w:t>enantiomers, and non-receptor antimicrobial/antioxidant effects. Lower-priority</w:t>
      </w:r>
    </w:p>
    <w:p>
      <w:pPr/>
      <w:r>
        <w:t>rows address phytol receptor nominations and caryophyllene oxide target</w:t>
      </w:r>
    </w:p>
    <w:p>
      <w:pPr/>
      <w:r>
        <w:t>discovery. The final row defines the evidence package required before any</w:t>
      </w:r>
    </w:p>
    <w:p>
      <w:pPr/>
      <w:r>
        <w:t>promotional claim is promoted.</w:t>
      </w:r>
    </w:p>
    <w:p>
      <w:pPr/>
      <w:r>
        <w:t>The plan uses orthogonal controls wherever possible: receptor antagonists or</w:t>
      </w:r>
    </w:p>
    <w:p>
      <w:pPr/>
      <w:r>
        <w:t>knockout systems for mechanism, vehicle and positive controls for assay</w:t>
      </w:r>
    </w:p>
    <w:p>
      <w:pPr/>
      <w:r>
        <w:t>validity, stereoisomer comparisons for identity, locomotor controls for animal</w:t>
      </w:r>
    </w:p>
    <w:p>
      <w:pPr/>
      <w:r>
        <w:t>behavior, and concentration–response plus pharmacokinetic checks for exposure.</w:t>
      </w:r>
    </w:p>
    <w:p>
      <w:pPr/>
      <w:r>
        <w:t>A positive receptor result supports only the measured molecular or phenotypic</w:t>
      </w:r>
    </w:p>
    <w:p>
      <w:pPr/>
      <w:r>
        <w:t>endpoint; a null result narrows the hypothesis but does not prove biological</w:t>
      </w:r>
    </w:p>
    <w:p>
      <w:pPr/>
      <w:r>
        <w:t>absence.</w:t>
      </w:r>
    </w:p>
    <w:p>
      <w:pPr>
        <w:pStyle w:val="Heading1"/>
      </w:pPr>
      <w:r>
        <w:t>6. Conclusion</w:t>
      </w:r>
    </w:p>
    <w:p>
      <w:pPr/>
      <w:r>
        <w:t>Terpedia can support a useful receptor hypothesis map for promotional terpene</w:t>
      </w:r>
    </w:p>
    <w:p>
      <w:pPr/>
      <w:r>
        <w:t>claims, but it cannot yet support the promotional effects as established</w:t>
      </w:r>
    </w:p>
    <w:p>
      <w:pPr/>
      <w:r>
        <w:t>biological facts. The current matrix is strongest as an auditable research</w:t>
      </w:r>
    </w:p>
    <w:p>
      <w:pPr/>
      <w:r>
        <w:t>queue: it identifies where direct receptor evidence exists, where literature</w:t>
      </w:r>
    </w:p>
    <w:p>
      <w:pPr/>
      <w:r>
        <w:t>adds a plausible mechanism, and where the correct conclusion remains</w:t>
      </w:r>
    </w:p>
    <w:p>
      <w:pPr/>
      <w:r>
        <w:t>unresolved.</w:t>
      </w:r>
    </w:p>
    <w:p>
      <w:pPr>
        <w:pStyle w:val="Heading1"/>
      </w:pPr>
      <w:r>
        <w:t>7. Data and code</w:t>
      </w:r>
    </w:p>
    <w:p>
      <w:pPr>
        <w:pStyle w:val="ListBullet"/>
      </w:pPr>
      <w:r>
        <w:rPr>
          <w:color w:val="1F4E79"/>
          <w:u w:val="single"/>
        </w:rPr>
        <w:t>Claims–terpene matrix</w:t>
      </w:r>
    </w:p>
    <w:p>
      <w:pPr>
        <w:pStyle w:val="ListBullet"/>
      </w:pPr>
      <w:r>
        <w:rPr>
          <w:color w:val="1F4E79"/>
          <w:u w:val="single"/>
        </w:rPr>
        <w:t>Receptor hypothesis map</w:t>
      </w:r>
    </w:p>
    <w:p>
      <w:pPr>
        <w:pStyle w:val="ListBullet"/>
      </w:pPr>
      <w:r>
        <w:rPr>
          <w:color w:val="1F4E79"/>
          <w:u w:val="single"/>
        </w:rPr>
        <w:t>Hypothesis-register builder</w:t>
      </w:r>
    </w:p>
    <w:p>
      <w:pPr>
        <w:pStyle w:val="ListBullet"/>
      </w:pPr>
      <w:r>
        <w:rPr>
          <w:color w:val="1F4E79"/>
          <w:u w:val="single"/>
        </w:rPr>
        <w:t>Matrix builder</w:t>
      </w:r>
    </w:p>
    <w:p>
      <w:pPr>
        <w:pStyle w:val="ListBullet"/>
      </w:pPr>
      <w:r>
        <w:rPr>
          <w:color w:val="1F4E79"/>
          <w:u w:val="single"/>
        </w:rPr>
        <w:t>Prioritized hypotheses-to-test table</w:t>
      </w:r>
    </w:p>
    <w:p>
      <w:pPr>
        <w:pStyle w:val="Heading1"/>
      </w:pPr>
      <w:r>
        <w:t>8. Declarations</w:t>
      </w:r>
    </w:p>
    <w:p>
      <w:pPr/>
      <w:r>
        <w:t>This perspective uses a Terpedia-curated promotional snapshot and a targeted</w:t>
      </w:r>
    </w:p>
    <w:p>
      <w:pPr/>
      <w:r>
        <w:t>literature map; it is not a systematic review or a clinical guideline. No</w:t>
      </w:r>
    </w:p>
    <w:p>
      <w:pPr/>
      <w:r>
        <w:t>clinical recommendation is made. Source provenance, identity decisions, and</w:t>
      </w:r>
    </w:p>
    <w:p>
      <w:pPr/>
      <w:r>
        <w:t>evidence boundaries are retained in the linked machine-readable artifacts.</w:t>
      </w:r>
    </w:p>
    <w:p>
      <w:pPr>
        <w:pStyle w:val="Heading1"/>
      </w:pPr>
      <w:r>
        <w:t>9. References</w:t>
      </w:r>
    </w:p>
    <w:p>
      <w:pPr/>
      <w:r>
        <w:t xml:space="preserve">1. Gertsch J et al. Beta-caryophyllene is a dietary cannabinoid. </w:t>
      </w:r>
      <w:r>
        <w:rPr>
          <w:i/>
        </w:rPr>
        <w:t>Proceedings of the National Academy of Sciences</w:t>
      </w:r>
      <w:r>
        <w:t xml:space="preserve">. 2008;105(26):9099–9104. </w:t>
      </w:r>
      <w:r>
        <w:rPr>
          <w:color w:val="1F4E79"/>
          <w:u w:val="single"/>
        </w:rPr>
        <w:t>PMID 18574142</w:t>
      </w:r>
      <w:r>
        <w:t>; doi:10.1073/pnas.0803601105.</w:t>
      </w:r>
    </w:p>
    <w:p>
      <w:pPr/>
      <w:r>
        <w:t xml:space="preserve">2. Klauke AL et al. The CB2-selective phytocannabinoid β-caryophyllene exerts analgesic effects in mouse models. </w:t>
      </w:r>
      <w:r>
        <w:rPr>
          <w:i/>
        </w:rPr>
        <w:t>European Neuropsychopharmacology</w:t>
      </w:r>
      <w:r>
        <w:t xml:space="preserve">. 2014;24(4):608–620. </w:t>
      </w:r>
      <w:r>
        <w:rPr>
          <w:color w:val="1F4E79"/>
          <w:u w:val="single"/>
        </w:rPr>
        <w:t>PMID 24210682</w:t>
      </w:r>
      <w:r>
        <w:t>; doi:10.1016/j.euroneuro.2013.10.008.</w:t>
      </w:r>
    </w:p>
    <w:p>
      <w:pPr/>
      <w:r>
        <w:t xml:space="preserve">3. Yang H et al. α-Pinene enhances non-rapid eye movement sleep in mice through GABA-A-benzodiazepine receptors. </w:t>
      </w:r>
      <w:r>
        <w:rPr>
          <w:i/>
        </w:rPr>
        <w:t>Molecular Pharmacology</w:t>
      </w:r>
      <w:r>
        <w:t xml:space="preserve">. 2016;90(5):530–539. </w:t>
      </w:r>
      <w:r>
        <w:rPr>
          <w:color w:val="1F4E79"/>
          <w:u w:val="single"/>
        </w:rPr>
        <w:t>PMID 27573669</w:t>
      </w:r>
      <w:r>
        <w:t>; doi:10.1124/mol.116.105080.</w:t>
      </w:r>
    </w:p>
    <w:p>
      <w:pPr/>
      <w:r>
        <w:t xml:space="preserve">4. Milanos S et al. Metabolic products of linalool and modulation of GABA-A receptors. </w:t>
      </w:r>
      <w:r>
        <w:rPr>
          <w:i/>
        </w:rPr>
        <w:t>Frontiers in Chemistry</w:t>
      </w:r>
      <w:r>
        <w:t xml:space="preserve">. 2017;5:46. </w:t>
      </w:r>
      <w:r>
        <w:rPr>
          <w:color w:val="1F4E79"/>
          <w:u w:val="single"/>
        </w:rPr>
        <w:t>PMID 28680877</w:t>
      </w:r>
      <w:r>
        <w:t>; doi:10.3389/fchem.2017.00046.</w:t>
      </w:r>
    </w:p>
    <w:p>
      <w:pPr/>
      <w:r>
        <w:t xml:space="preserve">5. Granger RE et al. (+)- and (−)-borneol: efficacious positive modulators of GABA action at human recombinant α1β2γ2L GABA-A receptors. </w:t>
      </w:r>
      <w:r>
        <w:rPr>
          <w:i/>
        </w:rPr>
        <w:t>Biochemical Pharmacology</w:t>
      </w:r>
      <w:r>
        <w:t xml:space="preserve">. 2005;69(7):1101–1111. </w:t>
      </w:r>
      <w:r>
        <w:rPr>
          <w:color w:val="1F4E79"/>
          <w:u w:val="single"/>
        </w:rPr>
        <w:t>PMID 15763546</w:t>
      </w:r>
      <w:r>
        <w:t>; doi:10.1016/j.bcp.2005.01.002.</w:t>
      </w:r>
    </w:p>
    <w:p>
      <w:pPr/>
      <w:r>
        <w:t xml:space="preserve">6. Nurulain S et al. Inhibitory actions of bisabolol on α7-nicotinic acetylcholine receptors. </w:t>
      </w:r>
      <w:r>
        <w:rPr>
          <w:i/>
        </w:rPr>
        <w:t>Neuroscience</w:t>
      </w:r>
      <w:r>
        <w:t xml:space="preserve">. 2015;306:91–99. </w:t>
      </w:r>
      <w:r>
        <w:rPr>
          <w:color w:val="1F4E79"/>
          <w:u w:val="single"/>
        </w:rPr>
        <w:t>PMID 26283025</w:t>
      </w:r>
      <w:r>
        <w:t>; doi:10.1016/j.neuroscience.2015.08.019.</w:t>
      </w:r>
    </w:p>
    <w:p>
      <w:pPr/>
      <w:r>
        <w:t xml:space="preserve">7. Jansen C et al. Myrcene and terpene regulation of TRPV1. </w:t>
      </w:r>
      <w:r>
        <w:rPr>
          <w:i/>
        </w:rPr>
        <w:t>Channels</w:t>
      </w:r>
      <w:r>
        <w:t xml:space="preserve">. 2019;13(1):344–366. </w:t>
      </w:r>
      <w:r>
        <w:rPr>
          <w:color w:val="1F4E79"/>
          <w:u w:val="single"/>
        </w:rPr>
        <w:t>PMID 31446830</w:t>
      </w:r>
      <w:r>
        <w:t>; doi:10.1080/19336950.2019.1654347.</w:t>
      </w:r>
    </w:p>
    <w:p>
      <w:pPr/>
      <w:r>
        <w:t xml:space="preserve">8. Vieira G et al. Antidepressant-like effect of terpineol in an inflammatory model of depression. </w:t>
      </w:r>
      <w:r>
        <w:rPr>
          <w:i/>
        </w:rPr>
        <w:t>Biomolecules</w:t>
      </w:r>
      <w:r>
        <w:t xml:space="preserve">. 2020;10(5):792. </w:t>
      </w:r>
      <w:r>
        <w:rPr>
          <w:color w:val="1F4E79"/>
          <w:u w:val="single"/>
        </w:rPr>
        <w:t>PMID 32443870</w:t>
      </w:r>
      <w:r>
        <w:t>; doi:10.3390/biom10050792.</w:t>
      </w:r>
    </w:p>
    <w:p>
      <w:pPr/>
      <w:r>
        <w:t xml:space="preserve">9. Jiang J et al. (+)-Borneol alleviates mechanical hyperalgesia in mice. </w:t>
      </w:r>
      <w:r>
        <w:rPr>
          <w:i/>
        </w:rPr>
        <w:t>European Journal of Pharmacology</w:t>
      </w:r>
      <w:r>
        <w:t xml:space="preserve">. 2015;757:53–58. </w:t>
      </w:r>
      <w:r>
        <w:rPr>
          <w:color w:val="1F4E79"/>
          <w:u w:val="single"/>
        </w:rPr>
        <w:t>PMID 25835611</w:t>
      </w:r>
      <w:r>
        <w:t>; doi:10.1016/j.ejphar.2015.03.056.</w:t>
      </w:r>
    </w:p>
    <w:p>
      <w:pPr/>
      <w:r>
        <w:t xml:space="preserve">10. Cao B et al. (+)-Borneol suppresses conditioned fear recall and anxiety-like behaviors in mice. </w:t>
      </w:r>
      <w:r>
        <w:rPr>
          <w:i/>
        </w:rPr>
        <w:t>Biochemical and Biophysical Research Communications</w:t>
      </w:r>
      <w:r>
        <w:t xml:space="preserve">. 2018;495(2):1588–1593. </w:t>
      </w:r>
      <w:r>
        <w:rPr>
          <w:color w:val="1F4E79"/>
          <w:u w:val="single"/>
        </w:rPr>
        <w:t>PMID 29223397</w:t>
      </w:r>
      <w:r>
        <w:t>; doi:10.1016/j.bbrc.2017.12.025.</w:t>
      </w:r>
    </w:p>
    <w:p>
      <w:pPr/>
      <w:r>
        <w:t xml:space="preserve">11. Shibuya Y et al. Effects of linalool on respiratory neuron activity in a newborn-rat brainstem preparation. </w:t>
      </w:r>
      <w:r>
        <w:rPr>
          <w:i/>
        </w:rPr>
        <w:t>Biomedical Research</w:t>
      </w:r>
      <w:r>
        <w:t xml:space="preserve">. 2024;45(4):151–161. </w:t>
      </w:r>
      <w:r>
        <w:rPr>
          <w:color w:val="1F4E79"/>
          <w:u w:val="single"/>
        </w:rPr>
        <w:t>PMID 39010191</w:t>
      </w:r>
      <w:r>
        <w:t>; doi:10.2220/biomedres.45.151.</w:t>
      </w:r>
    </w:p>
    <w:p>
      <w:pPr/>
      <w:r>
        <w:t xml:space="preserve">12. Dougnon G, Ito M. Caryophyllene oxide induces sedative activity in mice. </w:t>
      </w:r>
      <w:r>
        <w:rPr>
          <w:i/>
        </w:rPr>
        <w:t>Pharmaceuticals</w:t>
      </w:r>
      <w:r>
        <w:t xml:space="preserve">. 2021;14(7):651. </w:t>
      </w:r>
      <w:r>
        <w:rPr>
          <w:color w:val="1F4E79"/>
          <w:u w:val="single"/>
        </w:rPr>
        <w:t>PMID 34358077</w:t>
      </w:r>
      <w:r>
        <w:t>; doi:10.3390/ph14070651.</w:t>
      </w:r>
    </w:p>
    <w:p>
      <w:pPr/>
      <w:r>
        <w:t xml:space="preserve">13. El-Hammadi MM et al. Nanoparticles enhance effects of cannabis-based terpenes on calcium influx in TRPV1-expressing cells. </w:t>
      </w:r>
      <w:r>
        <w:rPr>
          <w:i/>
        </w:rPr>
        <w:t>International Journal of Pharmaceutics</w:t>
      </w:r>
      <w:r>
        <w:t xml:space="preserve">. 2022;616:121524. </w:t>
      </w:r>
      <w:r>
        <w:rPr>
          <w:color w:val="1F4E79"/>
          <w:u w:val="single"/>
        </w:rPr>
        <w:t>PMID 35104595</w:t>
      </w:r>
      <w:r>
        <w:t>; doi:10.1016/j.ijpharm.2022.121524.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