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Cover letter — Journal of Psychedelic Studies</w:t>
      </w:r>
    </w:p>
    <w:p>
      <w:r>
        <w:t>Dear Editor,</w:t>
      </w:r>
    </w:p>
    <w:p>
      <w:r>
        <w:t xml:space="preserve">Please consider our manuscript, </w:t>
      </w:r>
      <w:r>
        <w:rPr>
          <w:b/>
        </w:rPr>
        <w:t>“Is absinthe a different kind of drunk—and is it psychedelic? A critical Terpedia evidence map of ethanol, thujone, and 5-HT2A pharmacology,”</w:t>
      </w:r>
      <w:r>
        <w:t xml:space="preserve"> for publication as a Review Article in the </w:t>
      </w:r>
      <w:r>
        <w:rPr>
          <w:i/>
        </w:rPr>
        <w:t>Journal of Psychedelic Studies</w:t>
      </w:r>
      <w:r>
        <w:t>.</w:t>
      </w:r>
    </w:p>
    <w:p>
      <w:r>
        <w:t>The manuscript addresses a persistent but poorly specified claim: whether absinthe produces a reproducibly different intoxication profile from an ethanol-matched spirit and whether that difference should be classified as psychedelic. We define the relevant biochemical and phenomenological criteria, then apply them to an identity-resolved Terpedia inventory and an evidence-qualified receptor map. The review distinguishes direct 5-HT2A evidence from GABA-A toxicology, TRPA1 sensory signaling, preclinical linalool findings, ethanol effects, historical reports, and unresolved structure–target hypotheses.</w:t>
      </w:r>
    </w:p>
    <w:p>
      <w:r>
        <w:t>Our central conclusion is deliberately evidence-bounded. Absinthe is plausibly psychoactive and may contain non-5-HT2A modulators, but the current record does not establish the joined chain of 5-HT2A activity, plausible CNS exposure, reproducible psychedelic phenomenology, and causal validation required for the classic psychedelic label. We believe this negative-but-falsifiable conclusion is relevant to the journal because it clarifies how psychedelic terminology should be applied to complex botanical-alcoholic preparations and identifies the decisive receptor, pharmacokinetic, mixture, and controlled-human experiments still needed.</w:t>
      </w:r>
    </w:p>
    <w:p>
      <w:r>
        <w:t>The manuscript is a critical review and evidence map, not a systematic review or meta-analysis. We provide a structured evidence-selection summary, an exact search log, explicit evidence boundaries, a machine-readable 29-compound modulation map, and a reproducible Terpedia/SAIR structure-search record. No human or animal experiments were conducted for this article, and no clinical or therapeutic claim is made.</w:t>
      </w:r>
    </w:p>
    <w:p>
      <w:r>
        <w:t>This manuscript is original, is not under consideration elsewhere, and all authors have approved its submission. Daniel C. McShan is affiliated with Terpedia, LLC, which maintains or supplies the analyzed data; he reports no other conflicts. Susan Trapp’s competing-interest statement remains [TO CONFIRM].</w:t>
      </w:r>
    </w:p>
    <w:p>
      <w:r>
        <w:t>Thank you for your consideration.</w:t>
      </w:r>
    </w:p>
    <w:p>
      <w:r>
        <w:t>Sincerely,</w:t>
      </w:r>
    </w:p>
    <w:p>
      <w:r>
        <w:t>Daniel C. McShan, PhD</w:t>
      </w:r>
    </w:p>
    <w:p>
      <w:r>
        <w:t>for Daniel C. McShan and Susan Trapp</w:t>
      </w:r>
    </w:p>
    <w:p>
      <w:r>
        <w:t>Terpedia, LLC</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60" w:line="240" w:lineRule="auto" w:before="0"/>
      <w:contextualSpacing/>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