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0FE7" w:rsidRPr="002F0FE7" w:rsidRDefault="002F0FE7" w:rsidP="006C6E3F">
      <w:pPr>
        <w:spacing w:after="0" w:line="276" w:lineRule="auto"/>
        <w:jc w:val="center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FLOOD VULNERABILITY &amp; SITE SUITABILITY ASSESSMENT: LEKKI-EPE CORRIDOR</w:t>
      </w:r>
    </w:p>
    <w:p w:rsidR="002F0FE7" w:rsidRPr="002F0FE7" w:rsidRDefault="002F0FE7" w:rsidP="002F0FE7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Date:</w:t>
      </w:r>
      <w:r w:rsidRPr="002F0FE7">
        <w:rPr>
          <w:rFonts w:ascii="Times New Roman" w:hAnsi="Times New Roman" w:cs="Times New Roman"/>
          <w:sz w:val="24"/>
        </w:rPr>
        <w:t xml:space="preserve"> February 2026</w:t>
      </w:r>
    </w:p>
    <w:p w:rsidR="002F0FE7" w:rsidRDefault="002F0FE7" w:rsidP="002F0FE7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Analyst:</w:t>
      </w:r>
      <w:r w:rsidRPr="002F0F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C6E3F">
        <w:rPr>
          <w:rFonts w:ascii="Times New Roman" w:hAnsi="Times New Roman" w:cs="Times New Roman"/>
          <w:sz w:val="24"/>
        </w:rPr>
        <w:t>Eniola</w:t>
      </w:r>
      <w:proofErr w:type="spellEnd"/>
      <w:r w:rsidR="006C6E3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C6E3F">
        <w:rPr>
          <w:rFonts w:ascii="Times New Roman" w:hAnsi="Times New Roman" w:cs="Times New Roman"/>
          <w:sz w:val="24"/>
        </w:rPr>
        <w:t>Akinnibi</w:t>
      </w:r>
      <w:proofErr w:type="spellEnd"/>
    </w:p>
    <w:p w:rsidR="006C6E3F" w:rsidRPr="002F0FE7" w:rsidRDefault="006C6E3F" w:rsidP="002F0FE7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</w:p>
    <w:p w:rsidR="002F0FE7" w:rsidRPr="002F0FE7" w:rsidRDefault="002F0FE7" w:rsidP="002F0FE7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1. EXECUTIVE SUMMARY</w:t>
      </w:r>
    </w:p>
    <w:p w:rsidR="002F0FE7" w:rsidRPr="002F0FE7" w:rsidRDefault="002F0FE7" w:rsidP="002F0FE7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sz w:val="24"/>
        </w:rPr>
        <w:t>This report presents a geospatial risk assessment of the Lekki-</w:t>
      </w:r>
      <w:proofErr w:type="spellStart"/>
      <w:r w:rsidRPr="002F0FE7">
        <w:rPr>
          <w:rFonts w:ascii="Times New Roman" w:hAnsi="Times New Roman" w:cs="Times New Roman"/>
          <w:sz w:val="24"/>
        </w:rPr>
        <w:t>Epe</w:t>
      </w:r>
      <w:proofErr w:type="spellEnd"/>
      <w:r w:rsidRPr="002F0FE7">
        <w:rPr>
          <w:rFonts w:ascii="Times New Roman" w:hAnsi="Times New Roman" w:cs="Times New Roman"/>
          <w:sz w:val="24"/>
        </w:rPr>
        <w:t xml:space="preserve"> corridor, a rapidly urbanizing zone in Lagos State characterized by complex coastal hydrology. Using Multi-Criteria Decision Analysis (MCDA), this study models hydrostatic flood susceptibility to guide real estate investment and urban planning.</w:t>
      </w:r>
    </w:p>
    <w:p w:rsidR="002F0FE7" w:rsidRPr="002F0FE7" w:rsidRDefault="002F0FE7" w:rsidP="002F0FE7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sz w:val="24"/>
        </w:rPr>
        <w:t xml:space="preserve">The analysis reveals that </w:t>
      </w:r>
      <w:r w:rsidRPr="002F0FE7">
        <w:rPr>
          <w:rFonts w:ascii="Times New Roman" w:hAnsi="Times New Roman" w:cs="Times New Roman"/>
          <w:b/>
          <w:bCs/>
          <w:sz w:val="24"/>
        </w:rPr>
        <w:t>35% (499 km</w:t>
      </w:r>
      <w:r w:rsidR="006C6E3F" w:rsidRPr="006C6E3F">
        <w:rPr>
          <w:rFonts w:ascii="Times New Roman" w:hAnsi="Times New Roman" w:cs="Times New Roman"/>
          <w:b/>
          <w:bCs/>
          <w:sz w:val="24"/>
          <w:vertAlign w:val="superscript"/>
        </w:rPr>
        <w:t>2</w:t>
      </w:r>
      <w:r w:rsidRPr="002F0FE7">
        <w:rPr>
          <w:rFonts w:ascii="Times New Roman" w:hAnsi="Times New Roman" w:cs="Times New Roman"/>
          <w:b/>
          <w:bCs/>
          <w:sz w:val="24"/>
        </w:rPr>
        <w:t>)</w:t>
      </w:r>
      <w:r w:rsidRPr="002F0FE7">
        <w:rPr>
          <w:rFonts w:ascii="Times New Roman" w:hAnsi="Times New Roman" w:cs="Times New Roman"/>
          <w:sz w:val="24"/>
        </w:rPr>
        <w:t xml:space="preserve"> of the study area is designated "Critical Vulnerability," primarily concentrated in the </w:t>
      </w:r>
      <w:r w:rsidRPr="002F0FE7">
        <w:rPr>
          <w:rFonts w:ascii="Times New Roman" w:hAnsi="Times New Roman" w:cs="Times New Roman"/>
          <w:b/>
          <w:bCs/>
          <w:sz w:val="24"/>
        </w:rPr>
        <w:t>Ibeju-Lekki wetlands and lagoon buffers</w:t>
      </w:r>
      <w:r w:rsidRPr="002F0FE7">
        <w:rPr>
          <w:rFonts w:ascii="Times New Roman" w:hAnsi="Times New Roman" w:cs="Times New Roman"/>
          <w:sz w:val="24"/>
        </w:rPr>
        <w:t xml:space="preserve">. Conversely, only </w:t>
      </w:r>
      <w:r w:rsidRPr="002F0FE7">
        <w:rPr>
          <w:rFonts w:ascii="Times New Roman" w:hAnsi="Times New Roman" w:cs="Times New Roman"/>
          <w:b/>
          <w:bCs/>
          <w:sz w:val="24"/>
        </w:rPr>
        <w:t xml:space="preserve">28% (398 </w:t>
      </w:r>
      <w:r w:rsidR="006C6E3F" w:rsidRPr="002F0FE7">
        <w:rPr>
          <w:rFonts w:ascii="Times New Roman" w:hAnsi="Times New Roman" w:cs="Times New Roman"/>
          <w:b/>
          <w:bCs/>
          <w:sz w:val="24"/>
        </w:rPr>
        <w:t>km</w:t>
      </w:r>
      <w:r w:rsidR="006C6E3F" w:rsidRPr="006C6E3F">
        <w:rPr>
          <w:rFonts w:ascii="Times New Roman" w:hAnsi="Times New Roman" w:cs="Times New Roman"/>
          <w:b/>
          <w:bCs/>
          <w:sz w:val="24"/>
          <w:vertAlign w:val="superscript"/>
        </w:rPr>
        <w:t>2</w:t>
      </w:r>
      <w:r w:rsidRPr="002F0FE7">
        <w:rPr>
          <w:rFonts w:ascii="Times New Roman" w:hAnsi="Times New Roman" w:cs="Times New Roman"/>
          <w:b/>
          <w:bCs/>
          <w:sz w:val="24"/>
        </w:rPr>
        <w:t>)</w:t>
      </w:r>
      <w:r w:rsidRPr="002F0FE7">
        <w:rPr>
          <w:rFonts w:ascii="Times New Roman" w:hAnsi="Times New Roman" w:cs="Times New Roman"/>
          <w:sz w:val="24"/>
        </w:rPr>
        <w:t xml:space="preserve"> is classified as "High Suitability" (Green Zones), offering safe ground for development without intensive hydraulic engineering.</w:t>
      </w:r>
    </w:p>
    <w:p w:rsidR="002F0FE7" w:rsidRPr="002F0FE7" w:rsidRDefault="002F0FE7" w:rsidP="002F0FE7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2. METHODOLOGY &amp; DATA</w:t>
      </w:r>
    </w:p>
    <w:p w:rsidR="002F0FE7" w:rsidRPr="002F0FE7" w:rsidRDefault="002F0FE7" w:rsidP="002F0FE7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sz w:val="24"/>
        </w:rPr>
        <w:t>The assessment adheres to a zero-cost, open-source intelligence (OSINT) framework, ensuring reproducibility and scalability.</w:t>
      </w:r>
    </w:p>
    <w:p w:rsidR="002F0FE7" w:rsidRPr="002F0FE7" w:rsidRDefault="002F0FE7" w:rsidP="002F0FE7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Data Sources:</w:t>
      </w:r>
    </w:p>
    <w:p w:rsidR="002F0FE7" w:rsidRPr="002F0FE7" w:rsidRDefault="002F0FE7" w:rsidP="002F0FE7">
      <w:pPr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Terrain:</w:t>
      </w:r>
      <w:r w:rsidRPr="002F0FE7">
        <w:rPr>
          <w:rFonts w:ascii="Times New Roman" w:hAnsi="Times New Roman" w:cs="Times New Roman"/>
          <w:sz w:val="24"/>
        </w:rPr>
        <w:t xml:space="preserve"> Copernicus GLO-30 DEM (30m resolution, hydro-conditioned).</w:t>
      </w:r>
    </w:p>
    <w:p w:rsidR="002F0FE7" w:rsidRPr="002F0FE7" w:rsidRDefault="002F0FE7" w:rsidP="002F0FE7">
      <w:pPr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Land Cover:</w:t>
      </w:r>
      <w:r w:rsidRPr="002F0FE7">
        <w:rPr>
          <w:rFonts w:ascii="Times New Roman" w:hAnsi="Times New Roman" w:cs="Times New Roman"/>
          <w:sz w:val="24"/>
        </w:rPr>
        <w:t xml:space="preserve"> Sentinel-2 Multispectral Imagery (10m resolution, ESA).</w:t>
      </w:r>
    </w:p>
    <w:p w:rsidR="002F0FE7" w:rsidRPr="002F0FE7" w:rsidRDefault="002F0FE7" w:rsidP="002F0FE7">
      <w:pPr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Infrastructure:</w:t>
      </w:r>
      <w:r w:rsidRPr="002F0FE7">
        <w:rPr>
          <w:rFonts w:ascii="Times New Roman" w:hAnsi="Times New Roman" w:cs="Times New Roman"/>
          <w:sz w:val="24"/>
        </w:rPr>
        <w:t xml:space="preserve"> OpenStreetMap (OSM) Road Networks.</w:t>
      </w:r>
    </w:p>
    <w:p w:rsidR="002F0FE7" w:rsidRPr="002F0FE7" w:rsidRDefault="002F0FE7" w:rsidP="002F0FE7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Analytical Model (MCDA):</w:t>
      </w:r>
    </w:p>
    <w:p w:rsidR="002F0FE7" w:rsidRPr="002F0FE7" w:rsidRDefault="002F0FE7" w:rsidP="002F0FE7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sz w:val="24"/>
        </w:rPr>
        <w:t>A weighted overlay model was developed using the Analytical Hierarchy Process (AHP). Factors were weighted based on hydrological impact:</w:t>
      </w:r>
    </w:p>
    <w:p w:rsidR="002F0FE7" w:rsidRPr="002F0FE7" w:rsidRDefault="002F0FE7" w:rsidP="002F0FE7">
      <w:pPr>
        <w:numPr>
          <w:ilvl w:val="1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Topographic Wetness Index (35%):</w:t>
      </w:r>
      <w:r w:rsidRPr="002F0FE7">
        <w:rPr>
          <w:rFonts w:ascii="Times New Roman" w:hAnsi="Times New Roman" w:cs="Times New Roman"/>
          <w:sz w:val="24"/>
        </w:rPr>
        <w:t xml:space="preserve"> Mode</w:t>
      </w:r>
      <w:r w:rsidR="006C6E3F">
        <w:rPr>
          <w:rFonts w:ascii="Times New Roman" w:hAnsi="Times New Roman" w:cs="Times New Roman"/>
          <w:sz w:val="24"/>
        </w:rPr>
        <w:t>l</w:t>
      </w:r>
      <w:r w:rsidRPr="002F0FE7">
        <w:rPr>
          <w:rFonts w:ascii="Times New Roman" w:hAnsi="Times New Roman" w:cs="Times New Roman"/>
          <w:sz w:val="24"/>
        </w:rPr>
        <w:t>ling natural flow accumulation.</w:t>
      </w:r>
    </w:p>
    <w:p w:rsidR="002F0FE7" w:rsidRPr="002F0FE7" w:rsidRDefault="002F0FE7" w:rsidP="002F0FE7">
      <w:pPr>
        <w:numPr>
          <w:ilvl w:val="1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Distance to Water Bodies (30%):</w:t>
      </w:r>
      <w:r w:rsidRPr="002F0FE7">
        <w:rPr>
          <w:rFonts w:ascii="Times New Roman" w:hAnsi="Times New Roman" w:cs="Times New Roman"/>
          <w:sz w:val="24"/>
        </w:rPr>
        <w:t xml:space="preserve"> Euclidean distance buffering from Lagoon/Ocean.</w:t>
      </w:r>
    </w:p>
    <w:p w:rsidR="002F0FE7" w:rsidRPr="002F0FE7" w:rsidRDefault="002F0FE7" w:rsidP="002F0FE7">
      <w:pPr>
        <w:numPr>
          <w:ilvl w:val="1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Slope (20%):</w:t>
      </w:r>
      <w:r w:rsidRPr="002F0FE7">
        <w:rPr>
          <w:rFonts w:ascii="Times New Roman" w:hAnsi="Times New Roman" w:cs="Times New Roman"/>
          <w:sz w:val="24"/>
        </w:rPr>
        <w:t xml:space="preserve"> Identifying stagnation zones (0-2% gradient).</w:t>
      </w:r>
    </w:p>
    <w:p w:rsidR="002F0FE7" w:rsidRPr="002F0FE7" w:rsidRDefault="002F0FE7" w:rsidP="002F0FE7">
      <w:pPr>
        <w:numPr>
          <w:ilvl w:val="1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NDVI (15%):</w:t>
      </w:r>
      <w:r w:rsidRPr="002F0FE7">
        <w:rPr>
          <w:rFonts w:ascii="Times New Roman" w:hAnsi="Times New Roman" w:cs="Times New Roman"/>
          <w:sz w:val="24"/>
        </w:rPr>
        <w:t xml:space="preserve"> Assessing surface permeability.</w:t>
      </w:r>
    </w:p>
    <w:p w:rsidR="002F0FE7" w:rsidRPr="002F0FE7" w:rsidRDefault="002F0FE7" w:rsidP="002F0FE7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3. ANALYSIS OF RESULTS</w:t>
      </w:r>
    </w:p>
    <w:p w:rsidR="002F0FE7" w:rsidRPr="002F0FE7" w:rsidRDefault="002F0FE7" w:rsidP="002F0FE7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sz w:val="24"/>
        </w:rPr>
        <w:t>The spatial distribution of risk is non-uniform. The corridor is not a single landmass but a series of sandy ridges separated by drainage basins.</w:t>
      </w:r>
    </w:p>
    <w:p w:rsidR="002F0FE7" w:rsidRPr="002F0FE7" w:rsidRDefault="002F0FE7" w:rsidP="002F0FE7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Zone A: Critical Vulnerability (Risk Score 7-10)</w:t>
      </w:r>
    </w:p>
    <w:p w:rsidR="002F0FE7" w:rsidRPr="002F0FE7" w:rsidRDefault="002F0FE7" w:rsidP="002F0FE7">
      <w:pPr>
        <w:numPr>
          <w:ilvl w:val="1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Coverage:</w:t>
      </w:r>
      <w:r w:rsidRPr="002F0FE7">
        <w:rPr>
          <w:rFonts w:ascii="Times New Roman" w:hAnsi="Times New Roman" w:cs="Times New Roman"/>
          <w:sz w:val="24"/>
        </w:rPr>
        <w:t xml:space="preserve"> </w:t>
      </w:r>
      <w:r w:rsidRPr="002F0FE7">
        <w:rPr>
          <w:rFonts w:ascii="Times New Roman" w:hAnsi="Times New Roman" w:cs="Times New Roman"/>
          <w:b/>
          <w:bCs/>
          <w:sz w:val="24"/>
        </w:rPr>
        <w:t xml:space="preserve">499.41 </w:t>
      </w:r>
      <w:r w:rsidR="006C6E3F" w:rsidRPr="002F0FE7">
        <w:rPr>
          <w:rFonts w:ascii="Times New Roman" w:hAnsi="Times New Roman" w:cs="Times New Roman"/>
          <w:b/>
          <w:bCs/>
          <w:sz w:val="24"/>
        </w:rPr>
        <w:t>km</w:t>
      </w:r>
      <w:r w:rsidR="006C6E3F" w:rsidRPr="006C6E3F">
        <w:rPr>
          <w:rFonts w:ascii="Times New Roman" w:hAnsi="Times New Roman" w:cs="Times New Roman"/>
          <w:b/>
          <w:bCs/>
          <w:sz w:val="24"/>
          <w:vertAlign w:val="superscript"/>
        </w:rPr>
        <w:t>2</w:t>
      </w:r>
      <w:r w:rsidR="006C6E3F" w:rsidRPr="002F0FE7">
        <w:rPr>
          <w:rFonts w:ascii="Times New Roman" w:hAnsi="Times New Roman" w:cs="Times New Roman"/>
          <w:b/>
          <w:bCs/>
          <w:sz w:val="24"/>
        </w:rPr>
        <w:t xml:space="preserve"> </w:t>
      </w:r>
      <w:r w:rsidRPr="002F0FE7">
        <w:rPr>
          <w:rFonts w:ascii="Times New Roman" w:hAnsi="Times New Roman" w:cs="Times New Roman"/>
          <w:b/>
          <w:bCs/>
          <w:sz w:val="24"/>
        </w:rPr>
        <w:t>(34.8%)</w:t>
      </w:r>
    </w:p>
    <w:p w:rsidR="002F0FE7" w:rsidRPr="002F0FE7" w:rsidRDefault="002F0FE7" w:rsidP="002F0FE7">
      <w:pPr>
        <w:numPr>
          <w:ilvl w:val="1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Characteristics:</w:t>
      </w:r>
      <w:r w:rsidRPr="002F0FE7">
        <w:rPr>
          <w:rFonts w:ascii="Times New Roman" w:hAnsi="Times New Roman" w:cs="Times New Roman"/>
          <w:sz w:val="24"/>
        </w:rPr>
        <w:t xml:space="preserve"> These areas are natural drainage basins. Construction here requires significant sand-filling (&gt;2m) and canalization.</w:t>
      </w:r>
    </w:p>
    <w:p w:rsidR="002F0FE7" w:rsidRPr="002F0FE7" w:rsidRDefault="002F0FE7" w:rsidP="002F0FE7">
      <w:pPr>
        <w:numPr>
          <w:ilvl w:val="1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Key Locations:</w:t>
      </w:r>
      <w:r w:rsidRPr="002F0FE7">
        <w:rPr>
          <w:rFonts w:ascii="Times New Roman" w:hAnsi="Times New Roman" w:cs="Times New Roman"/>
          <w:sz w:val="24"/>
        </w:rPr>
        <w:t xml:space="preserve"> Deep wetland strips behind the Refinery axis and the immediate Lagoon setbacks.</w:t>
      </w:r>
    </w:p>
    <w:p w:rsidR="002F0FE7" w:rsidRPr="002F0FE7" w:rsidRDefault="002F0FE7" w:rsidP="002F0FE7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Zone B: Moderate Suitability (Risk Score 4-7)</w:t>
      </w:r>
    </w:p>
    <w:p w:rsidR="002F0FE7" w:rsidRPr="002F0FE7" w:rsidRDefault="002F0FE7" w:rsidP="002F0FE7">
      <w:pPr>
        <w:numPr>
          <w:ilvl w:val="1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Coverage:</w:t>
      </w:r>
      <w:r w:rsidRPr="002F0FE7">
        <w:rPr>
          <w:rFonts w:ascii="Times New Roman" w:hAnsi="Times New Roman" w:cs="Times New Roman"/>
          <w:sz w:val="24"/>
        </w:rPr>
        <w:t xml:space="preserve"> </w:t>
      </w:r>
      <w:r w:rsidRPr="002F0FE7">
        <w:rPr>
          <w:rFonts w:ascii="Times New Roman" w:hAnsi="Times New Roman" w:cs="Times New Roman"/>
          <w:b/>
          <w:bCs/>
          <w:sz w:val="24"/>
        </w:rPr>
        <w:t xml:space="preserve">539.46 </w:t>
      </w:r>
      <w:r w:rsidR="006C6E3F" w:rsidRPr="002F0FE7">
        <w:rPr>
          <w:rFonts w:ascii="Times New Roman" w:hAnsi="Times New Roman" w:cs="Times New Roman"/>
          <w:b/>
          <w:bCs/>
          <w:sz w:val="24"/>
        </w:rPr>
        <w:t>km</w:t>
      </w:r>
      <w:r w:rsidR="006C6E3F" w:rsidRPr="006C6E3F">
        <w:rPr>
          <w:rFonts w:ascii="Times New Roman" w:hAnsi="Times New Roman" w:cs="Times New Roman"/>
          <w:b/>
          <w:bCs/>
          <w:sz w:val="24"/>
          <w:vertAlign w:val="superscript"/>
        </w:rPr>
        <w:t>2</w:t>
      </w:r>
      <w:r w:rsidR="006C6E3F" w:rsidRPr="002F0FE7">
        <w:rPr>
          <w:rFonts w:ascii="Times New Roman" w:hAnsi="Times New Roman" w:cs="Times New Roman"/>
          <w:b/>
          <w:bCs/>
          <w:sz w:val="24"/>
        </w:rPr>
        <w:t xml:space="preserve"> </w:t>
      </w:r>
      <w:r w:rsidRPr="002F0FE7">
        <w:rPr>
          <w:rFonts w:ascii="Times New Roman" w:hAnsi="Times New Roman" w:cs="Times New Roman"/>
          <w:b/>
          <w:bCs/>
          <w:sz w:val="24"/>
        </w:rPr>
        <w:t>(37.5%)</w:t>
      </w:r>
    </w:p>
    <w:p w:rsidR="002F0FE7" w:rsidRPr="002F0FE7" w:rsidRDefault="002F0FE7" w:rsidP="002F0FE7">
      <w:pPr>
        <w:numPr>
          <w:ilvl w:val="1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Characteristics:</w:t>
      </w:r>
      <w:r w:rsidRPr="002F0FE7">
        <w:rPr>
          <w:rFonts w:ascii="Times New Roman" w:hAnsi="Times New Roman" w:cs="Times New Roman"/>
          <w:sz w:val="24"/>
        </w:rPr>
        <w:t xml:space="preserve"> Transitional zones. While not marshes, these areas have high water tables or poor runoff coefficients. Development here requires mandatory plinth elevation (600mm+) and robust drainage networks.</w:t>
      </w:r>
    </w:p>
    <w:p w:rsidR="002F0FE7" w:rsidRPr="002F0FE7" w:rsidRDefault="002F0FE7" w:rsidP="002F0FE7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Zone C: High Suitability (Risk Score 1-4)</w:t>
      </w:r>
    </w:p>
    <w:p w:rsidR="002F0FE7" w:rsidRPr="002F0FE7" w:rsidRDefault="002F0FE7" w:rsidP="002F0FE7">
      <w:pPr>
        <w:numPr>
          <w:ilvl w:val="1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lastRenderedPageBreak/>
        <w:t>Coverage:</w:t>
      </w:r>
      <w:r w:rsidRPr="002F0FE7">
        <w:rPr>
          <w:rFonts w:ascii="Times New Roman" w:hAnsi="Times New Roman" w:cs="Times New Roman"/>
          <w:sz w:val="24"/>
        </w:rPr>
        <w:t xml:space="preserve"> </w:t>
      </w:r>
      <w:r w:rsidRPr="002F0FE7">
        <w:rPr>
          <w:rFonts w:ascii="Times New Roman" w:hAnsi="Times New Roman" w:cs="Times New Roman"/>
          <w:b/>
          <w:bCs/>
          <w:sz w:val="24"/>
        </w:rPr>
        <w:t xml:space="preserve">397.78 </w:t>
      </w:r>
      <w:r w:rsidR="006C6E3F" w:rsidRPr="002F0FE7">
        <w:rPr>
          <w:rFonts w:ascii="Times New Roman" w:hAnsi="Times New Roman" w:cs="Times New Roman"/>
          <w:b/>
          <w:bCs/>
          <w:sz w:val="24"/>
        </w:rPr>
        <w:t>km</w:t>
      </w:r>
      <w:r w:rsidR="006C6E3F" w:rsidRPr="006C6E3F">
        <w:rPr>
          <w:rFonts w:ascii="Times New Roman" w:hAnsi="Times New Roman" w:cs="Times New Roman"/>
          <w:b/>
          <w:bCs/>
          <w:sz w:val="24"/>
          <w:vertAlign w:val="superscript"/>
        </w:rPr>
        <w:t>2</w:t>
      </w:r>
      <w:r w:rsidR="006C6E3F" w:rsidRPr="002F0FE7">
        <w:rPr>
          <w:rFonts w:ascii="Times New Roman" w:hAnsi="Times New Roman" w:cs="Times New Roman"/>
          <w:b/>
          <w:bCs/>
          <w:sz w:val="24"/>
        </w:rPr>
        <w:t xml:space="preserve"> </w:t>
      </w:r>
      <w:r w:rsidRPr="002F0FE7">
        <w:rPr>
          <w:rFonts w:ascii="Times New Roman" w:hAnsi="Times New Roman" w:cs="Times New Roman"/>
          <w:b/>
          <w:bCs/>
          <w:sz w:val="24"/>
        </w:rPr>
        <w:t>(27.7%)</w:t>
      </w:r>
    </w:p>
    <w:p w:rsidR="002F0FE7" w:rsidRPr="002F0FE7" w:rsidRDefault="002F0FE7" w:rsidP="002F0FE7">
      <w:pPr>
        <w:numPr>
          <w:ilvl w:val="1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Characteristics:</w:t>
      </w:r>
      <w:r w:rsidRPr="002F0FE7">
        <w:rPr>
          <w:rFonts w:ascii="Times New Roman" w:hAnsi="Times New Roman" w:cs="Times New Roman"/>
          <w:sz w:val="24"/>
        </w:rPr>
        <w:t xml:space="preserve"> Elevated sandy ridges. Optimal for residential and commercial development with minimal risk mitigation costs.</w:t>
      </w:r>
    </w:p>
    <w:p w:rsidR="002F0FE7" w:rsidRPr="002F0FE7" w:rsidRDefault="002F0FE7" w:rsidP="002F0FE7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4. STRATEGIC RECOMMENDATIONS</w:t>
      </w:r>
    </w:p>
    <w:p w:rsidR="002F0FE7" w:rsidRPr="002F0FE7" w:rsidRDefault="002F0FE7" w:rsidP="002F0FE7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Investment Focus:</w:t>
      </w:r>
      <w:r w:rsidRPr="002F0FE7">
        <w:rPr>
          <w:rFonts w:ascii="Times New Roman" w:hAnsi="Times New Roman" w:cs="Times New Roman"/>
          <w:sz w:val="24"/>
        </w:rPr>
        <w:t xml:space="preserve"> Capital deployment should prioritize the 28% "Green Zone" corridor, where asset security is naturally higher.</w:t>
      </w:r>
    </w:p>
    <w:p w:rsidR="002F0FE7" w:rsidRPr="002F0FE7" w:rsidRDefault="002F0FE7" w:rsidP="002F0FE7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2F0FE7">
        <w:rPr>
          <w:rFonts w:ascii="Times New Roman" w:hAnsi="Times New Roman" w:cs="Times New Roman"/>
          <w:b/>
          <w:bCs/>
          <w:sz w:val="24"/>
        </w:rPr>
        <w:t>Engineering Mandates:</w:t>
      </w:r>
      <w:r w:rsidRPr="002F0FE7">
        <w:rPr>
          <w:rFonts w:ascii="Times New Roman" w:hAnsi="Times New Roman" w:cs="Times New Roman"/>
          <w:sz w:val="24"/>
        </w:rPr>
        <w:t xml:space="preserve"> The 37% of land in "Moderate" zones must not be treated as dry land; it requires specific drainage bylaws to prevent future urban flooding.</w:t>
      </w:r>
    </w:p>
    <w:p w:rsidR="002F0FE7" w:rsidRPr="002F0FE7" w:rsidRDefault="002F0FE7" w:rsidP="002F0FE7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2F0FE7" w:rsidRPr="002F0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E17C7A"/>
    <w:multiLevelType w:val="multilevel"/>
    <w:tmpl w:val="435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352C9"/>
    <w:multiLevelType w:val="hybridMultilevel"/>
    <w:tmpl w:val="68B089CA"/>
    <w:lvl w:ilvl="0" w:tplc="98F80E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5275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4C2E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F6C40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64645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AE2B2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AF458A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0CAE0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0D876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97BE4"/>
    <w:multiLevelType w:val="multilevel"/>
    <w:tmpl w:val="6CB0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C040D"/>
    <w:multiLevelType w:val="multilevel"/>
    <w:tmpl w:val="08B2E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FE7"/>
    <w:rsid w:val="002F0FE7"/>
    <w:rsid w:val="006C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CC1C3"/>
  <w15:chartTrackingRefBased/>
  <w15:docId w15:val="{02DD17CD-9D9F-44A8-9076-EDB35BBFB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35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Eniola</dc:creator>
  <cp:keywords/>
  <dc:description/>
  <cp:lastModifiedBy>Eniola</cp:lastModifiedBy>
  <cp:revision>1</cp:revision>
  <dcterms:created xsi:type="dcterms:W3CDTF">2026-02-05T11:47:00Z</dcterms:created>
  <dcterms:modified xsi:type="dcterms:W3CDTF">2026-02-05T12:06:00Z</dcterms:modified>
</cp:coreProperties>
</file>