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8"/>
          <w:szCs w:val="48"/>
        </w:rPr>
        <w:t xml:space="preserve">Robo-Kit ETF Databases</w:t>
      </w:r>
    </w:p>
    <w:p>
      <w:pPr>
        <w:pBdr>
          <w:bottom w:val="single" w:color="1F3864" w:sz="8" w:space="4"/>
        </w:pBdr>
        <w:spacing w:after="240"/>
      </w:pPr>
      <w:r>
        <w:rPr>
          <w:rFonts w:ascii="Calibri" w:cs="Calibri" w:eastAsia="Calibri" w:hAnsi="Calibri"/>
          <w:color w:val="595959"/>
          <w:sz w:val="24"/>
          <w:szCs w:val="24"/>
        </w:rPr>
        <w:t xml:space="preserve">Handover notes for the team  ·  prepared 13 October 2026</w:t>
      </w:r>
    </w:p>
    <w:p>
      <w:pPr>
        <w:pStyle w:val="Heading1"/>
      </w:pPr>
      <w:r>
        <w:rPr>
          <w:rFonts w:ascii="Calibri" w:cs="Calibri" w:eastAsia="Calibri" w:hAnsi="Calibri"/>
        </w:rPr>
        <w:t xml:space="preserve">1. What this is, in plain terms</w:t>
      </w:r>
    </w:p>
    <w:p>
      <w:pPr>
        <w:spacing w:after="120" w:line="276"/>
      </w:pPr>
      <w:r>
        <w:rPr>
          <w:rFonts w:ascii="Calibri" w:cs="Calibri" w:eastAsia="Calibri" w:hAnsi="Calibri"/>
        </w:rPr>
        <w:t xml:space="preserve">We started with a spreadsheet of about 3,000 ETFs, each with a Bloomberg-style ticker (for example “BNDX US” or “VBU CN”) and a name. That is not enough to run a robo-adviser, so I turned it into a clean set of three small database files that the rest of the Robo-Kit can read.</w:t>
      </w:r>
    </w:p>
    <w:p>
      <w:pPr>
        <w:spacing w:after="120" w:line="276"/>
      </w:pPr>
      <w:r>
        <w:rPr>
          <w:rFonts w:ascii="Calibri" w:cs="Calibri" w:eastAsia="Calibri" w:hAnsi="Calibri"/>
        </w:rPr>
        <w:t xml:space="preserve">In short: I converted every ticker to its Yahoo Finance equivalent, checked that each fund really exists (including funds that have moved to a different exchange), pulled everything Yahoo knows about each one, worked out the extra fields the Client Flow needs (region, theme, income, risk tier and so on), removed the funds the spec says we can’t recommend, and saved the results.</w:t>
      </w:r>
    </w:p>
    <w:p>
      <w:pPr>
        <w:spacing w:after="120" w:line="276"/>
      </w:pPr>
      <w:r>
        <w:rPr>
          <w:rFonts w:ascii="Calibri" w:cs="Calibri" w:eastAsia="Calibri" w:hAnsi="Calibri"/>
        </w:rPr>
        <w:t xml:space="preserve">The three files are:</w:t>
      </w:r>
    </w:p>
    <w:p>
      <w:pPr>
        <w:pStyle w:val="ListParagraph"/>
        <w:numPr>
          <w:ilvl w:val="0"/>
          <w:numId w:val="2"/>
        </w:numPr>
        <w:spacing w:after="60" w:line="276"/>
      </w:pPr>
      <w:r>
        <w:rPr>
          <w:rFonts w:ascii="Calibri" w:cs="Calibri" w:eastAsia="Calibri" w:hAnsi="Calibri"/>
          <w:b/>
          <w:bCs/>
        </w:rPr>
        <w:t xml:space="preserve">etf_core.db</w:t>
      </w:r>
      <w:r>
        <w:rPr>
          <w:rFonts w:ascii="Calibri" w:cs="Calibri" w:eastAsia="Calibri" w:hAnsi="Calibri"/>
        </w:rPr>
        <w:t xml:space="preserve"> – the short list of funds the tool is allowed to recommend, with only the columns the tool needs. Start here.</w:t>
      </w:r>
    </w:p>
    <w:p>
      <w:pPr>
        <w:pStyle w:val="ListParagraph"/>
        <w:numPr>
          <w:ilvl w:val="0"/>
          <w:numId w:val="2"/>
        </w:numPr>
        <w:spacing w:after="60" w:line="276"/>
      </w:pPr>
      <w:r>
        <w:rPr>
          <w:rFonts w:ascii="Calibri" w:cs="Calibri" w:eastAsia="Calibri" w:hAnsi="Calibri"/>
          <w:b/>
          <w:bCs/>
        </w:rPr>
        <w:t xml:space="preserve">etf_context.db</w:t>
      </w:r>
      <w:r>
        <w:rPr>
          <w:rFonts w:ascii="Calibri" w:cs="Calibri" w:eastAsia="Calibri" w:hAnsi="Calibri"/>
        </w:rPr>
        <w:t xml:space="preserve"> – the full universe, including funds we excluded and why, plus extra detail, raw Yahoo data and a data dictionary. Look things up here when you need more.</w:t>
      </w:r>
    </w:p>
    <w:p>
      <w:pPr>
        <w:pStyle w:val="ListParagraph"/>
        <w:numPr>
          <w:ilvl w:val="0"/>
          <w:numId w:val="2"/>
        </w:numPr>
        <w:spacing w:after="60" w:line="276"/>
      </w:pPr>
      <w:r>
        <w:rPr>
          <w:rFonts w:ascii="Calibri" w:cs="Calibri" w:eastAsia="Calibri" w:hAnsi="Calibri"/>
          <w:b/>
          <w:bCs/>
        </w:rPr>
        <w:t xml:space="preserve">etf_prices.db</w:t>
      </w:r>
      <w:r>
        <w:rPr>
          <w:rFonts w:ascii="Calibri" w:cs="Calibri" w:eastAsia="Calibri" w:hAnsi="Calibri"/>
        </w:rPr>
        <w:t xml:space="preserve"> – three years of weekly prices for the eligible funds. Used for correlation, the optimizer and the Monte Carlo projection.</w:t>
      </w:r>
    </w:p>
    <w:p>
      <w:pPr>
        <w:spacing w:after="120" w:line="276"/>
      </w:pPr>
      <w:r>
        <w:rPr>
          <w:rFonts w:ascii="Calibri" w:cs="Calibri" w:eastAsia="Calibri" w:hAnsi="Calibri"/>
          <w:b/>
          <w:bCs/>
        </w:rPr>
        <w:t xml:space="preserve">Who updates them: </w:t>
      </w:r>
      <w:r>
        <w:rPr>
          <w:rFonts w:ascii="Calibri" w:cs="Calibri" w:eastAsia="Calibri" w:hAnsi="Calibri"/>
        </w:rPr>
        <w:t xml:space="preserve">only I write to these files, and I will refresh them by upsert (update existing rows, add new ones). Everyone else should treat them as read-only. Each file carries a version stamp in its </w:t>
      </w:r>
      <w:r>
        <w:rPr>
          <w:rFonts w:ascii="Consolas" w:cs="Consolas" w:eastAsia="Consolas" w:hAnsi="Consolas"/>
          <w:sz w:val="20"/>
          <w:szCs w:val="20"/>
        </w:rPr>
        <w:t xml:space="preserve">meta</w:t>
      </w:r>
      <w:r>
        <w:rPr>
          <w:rFonts w:ascii="Calibri" w:cs="Calibri" w:eastAsia="Calibri" w:hAnsi="Calibri"/>
        </w:rPr>
        <w:t xml:space="preserve"> table so you can tell which copy you have.</w:t>
      </w:r>
    </w:p>
    <w:p>
      <w:pPr>
        <w:pStyle w:val="Heading1"/>
      </w:pPr>
      <w:r>
        <w:rPr>
          <w:rFonts w:ascii="Calibri" w:cs="Calibri" w:eastAsia="Calibri" w:hAnsi="Calibri"/>
        </w:rPr>
        <w:t xml:space="preserve">2. How the data was built (the short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Step</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happened</w:t>
            </w:r>
          </w:p>
        </w:tc>
        <w:tc>
          <w:tcPr>
            <w:tcW w:type="dxa" w:w="5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Why it matters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Loaded the four Excel sheets (BOND ETFs, Equity ETF, Commodity ETF, Real Estate ETF).</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sheet a fund sits on becomes its asset_class: Bond, Equity, Commodity or Real Estate.</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2</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Converted Bloomberg tickers to Yahoo symbols using the exchange suffix (US none, CN → .TO, LN → .L, GR → .DE, IM → .MI, FP → .PA, NA → .AS, SW → .SW, AU → .AX, HK → .HK, JP → .T).</w:t>
            </w:r>
          </w:p>
        </w:tc>
        <w:tc>
          <w:tcPr>
            <w:tcW w:type="dxa" w:w="5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Yahoo does not understand Bloomberg’s format.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Verified every symbol against Yahoo. If not found, tried other listings (.TO, .NE, .V, .CN for Canada; .DE, .MI, .SW, .L, .PA, .AS for Europe). Results were saved to a local cache so nothing was fetched twice.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Canadian funds have moved exchange (for example VBU.TO is now VBU.NE). Result: 2,872 confirmed, 144 rescued on a different listing; the rest are recorded as not_found.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4</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Pulled the Yahoo profile for each fund: size, volume, fees, yields, beta, returns, category, description.</w:t>
            </w:r>
          </w:p>
        </w:tc>
        <w:tc>
          <w:tcPr>
            <w:tcW w:type="dxa" w:w="5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This is the “real data” for most columns.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Applied the exclusion rules from the spec (section 5 below).</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Leaves only funds the tool may recommend.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6</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Downloaded three years of daily dividend-adjusted prices for eligible funds, converted to weekly, and stored them.</w:t>
            </w:r>
          </w:p>
        </w:tc>
        <w:tc>
          <w:tcPr>
            <w:tcW w:type="dxa" w:w="5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Needed for volatility, risk tier, drawdown, correlation and the optimizer.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Calculated volatility and risk tier, then derived region, theme, ESG flag, income flag and ETF category from names and categories.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Needs no further Yahoo calls. See section 4.</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8</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Wrote the three databases and made dated copies in a handover folder.</w:t>
            </w:r>
          </w:p>
        </w:tc>
        <w:tc>
          <w:tcPr>
            <w:tcW w:type="dxa" w:w="5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Gives everyone the same starting snapshot.</w:t>
            </w:r>
          </w:p>
        </w:tc>
      </w:tr>
    </w:tbl>
    <w:p>
      <w:pPr>
        <w:spacing w:after="120"/>
      </w:pPr>
    </w:p>
    <w:p>
      <w:pPr>
        <w:pStyle w:val="Heading1"/>
      </w:pPr>
      <w:r>
        <w:rPr>
          <w:rFonts w:ascii="Calibri" w:cs="Calibri" w:eastAsia="Calibri" w:hAnsi="Calibri"/>
        </w:rPr>
        <w:t xml:space="preserve">3. The databases and their structure</w:t>
      </w:r>
    </w:p>
    <w:p>
      <w:pPr>
        <w:spacing w:after="120" w:line="276"/>
      </w:pPr>
      <w:r>
        <w:rPr>
          <w:rFonts w:ascii="Calibri" w:cs="Calibri" w:eastAsia="Calibri" w:hAnsi="Calibri"/>
        </w:rPr>
        <w:t xml:space="preserve">Naming conventions used everywhere: column names are lower snake_case; ticker is the original Bloomberg-style ticker and is the key that links all three files; ticker_yahoo is the symbol Yahoo uses.</w:t>
      </w:r>
    </w:p>
    <w:p>
      <w:pPr>
        <w:spacing w:after="120" w:line="276"/>
      </w:pPr>
      <w:r>
        <w:rPr>
          <w:rFonts w:ascii="Calibri" w:cs="Calibri" w:eastAsia="Calibri" w:hAnsi="Calibri"/>
          <w:b/>
          <w:bCs/>
        </w:rPr>
        <w:t xml:space="preserve">Units to be careful with: </w:t>
      </w:r>
      <w:r>
        <w:rPr>
          <w:rFonts w:ascii="Consolas" w:cs="Consolas" w:eastAsia="Consolas" w:hAnsi="Consolas"/>
          <w:sz w:val="20"/>
          <w:szCs w:val="20"/>
        </w:rPr>
        <w:t xml:space="preserve">mer_pct</w:t>
      </w:r>
      <w:r>
        <w:rPr>
          <w:rFonts w:ascii="Calibri" w:cs="Calibri" w:eastAsia="Calibri" w:hAnsi="Calibri"/>
        </w:rPr>
        <w:t xml:space="preserve"> is stored as a percentage (0.09 means 0.09%). </w:t>
      </w:r>
      <w:r>
        <w:rPr>
          <w:rFonts w:ascii="Consolas" w:cs="Consolas" w:eastAsia="Consolas" w:hAnsi="Consolas"/>
          <w:sz w:val="20"/>
          <w:szCs w:val="20"/>
        </w:rPr>
        <w:t xml:space="preserve">volatility</w:t>
      </w:r>
      <w:r>
        <w:rPr>
          <w:rFonts w:ascii="Calibri" w:cs="Calibri" w:eastAsia="Calibri" w:hAnsi="Calibri"/>
        </w:rPr>
        <w:t xml:space="preserve"> is stored as a fraction (0.11 means 11%).</w:t>
      </w:r>
    </w:p>
    <w:p>
      <w:pPr>
        <w:pStyle w:val="Heading2"/>
      </w:pPr>
      <w:r>
        <w:rPr>
          <w:rFonts w:ascii="Calibri" w:cs="Calibri" w:eastAsia="Calibri" w:hAnsi="Calibri"/>
        </w:rPr>
        <w:t xml:space="preserve">3.1 etf_core.db – what the tool reads</w:t>
      </w:r>
    </w:p>
    <w:p>
      <w:pPr>
        <w:spacing w:after="120" w:line="276"/>
      </w:pPr>
      <w:r>
        <w:rPr>
          <w:rFonts w:ascii="Calibri" w:cs="Calibri" w:eastAsia="Calibri" w:hAnsi="Calibri"/>
        </w:rPr>
        <w:t xml:space="preserve">One row per eligible fund. This is the file the front-end, filters and ranking logic should use.</w:t>
      </w:r>
    </w:p>
    <w:p>
      <w:pPr>
        <w:spacing w:after="120" w:line="276"/>
      </w:pPr>
      <w:r>
        <w:rPr>
          <w:rFonts w:ascii="Calibri" w:cs="Calibri" w:eastAsia="Calibri" w:hAnsi="Calibri"/>
          <w:b/>
          <w:bCs/>
        </w:rPr>
        <w:t xml:space="preserve">Table </w:t>
      </w:r>
      <w:r>
        <w:rPr>
          <w:rFonts w:ascii="Consolas" w:cs="Consolas" w:eastAsia="Consolas" w:hAnsi="Consolas"/>
          <w:sz w:val="20"/>
          <w:szCs w:val="20"/>
        </w:rPr>
        <w:t xml:space="preserve">etf</w:t>
      </w:r>
      <w:r>
        <w:rPr>
          <w:rFonts w:ascii="Calibri" w:cs="Calibri" w:eastAsia="Calibri" w:hAnsi="Calibri"/>
        </w:rPr>
        <w:t xml:space="preserve"> (primary key: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Type</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ticker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Original ticker, primary key (e.g. “VBU CN”).</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ticker_yahoo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Resolved Yahoo symbol (e.g. “VBU.NE”).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Fund name from the original Excel.</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fund_family</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Provider (Vanguard, iShares, BMO…).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exchange / market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Yahoo exchange code and the market/suffix we derived.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listing_country</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Canada or US for eligible funds.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currency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Trading currency (CAD or USD).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asset_class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Bond, Equity, Commodity or Real Estate – from the Excel sheet.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etf_category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Spec category: Canadian stocks, US stocks, International stocks, Emerging markets stocks, Canadian bonds (all maturities), Canadian short-term bonds, Global bonds (incl. US), Real estate, Commodities, Cash, Sector or theme, Other.</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region</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Canada, US, International, Emerging Markets, Global, North America or Unknown.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theme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Sector/theme label, or blank (see section 4.3).</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is_esg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integer 0/1</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Responsible / ESG / sustainable fund flag.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income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integer 0/1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Income-focused stock or real-estate fund.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leveraged / leverage_factor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integer / number</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Leveraged flag and the multiple (2 or 3) where the name says so.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cad_hedged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integer 0/1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Name says CAD-hedged.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mer_pct</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Management expense ratio in percent (0.09 = 0.09%).</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aum_cad_m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Fund size in C$ millions.</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avg_volume_30d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Average daily volume (see caveats).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volatility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Annualized volatility as a fraction (0.11 = 11%).</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risk_tier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Low, Medium or High (section 4.1).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updated_at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When the row was last written.</w:t>
            </w:r>
          </w:p>
        </w:tc>
      </w:tr>
    </w:tbl>
    <w:p>
      <w:pPr>
        <w:spacing w:after="120"/>
      </w:pPr>
    </w:p>
    <w:p>
      <w:pPr>
        <w:spacing w:after="120" w:line="276"/>
      </w:pPr>
      <w:r>
        <w:rPr>
          <w:rFonts w:ascii="Calibri" w:cs="Calibri" w:eastAsia="Calibri" w:hAnsi="Calibri"/>
          <w:b/>
          <w:bCs/>
        </w:rPr>
        <w:t xml:space="preserve">Other tables: </w:t>
      </w:r>
      <w:r>
        <w:rPr>
          <w:rFonts w:ascii="Consolas" w:cs="Consolas" w:eastAsia="Consolas" w:hAnsi="Consolas"/>
          <w:sz w:val="20"/>
          <w:szCs w:val="20"/>
        </w:rPr>
        <w:t xml:space="preserve">etf_category_lookup</w:t>
      </w:r>
      <w:r>
        <w:rPr>
          <w:rFonts w:ascii="Calibri" w:cs="Calibri" w:eastAsia="Calibri" w:hAnsi="Calibri"/>
        </w:rPr>
        <w:t xml:space="preserve"> (the twelve categories with their order, 1–12) and </w:t>
      </w:r>
      <w:r>
        <w:rPr>
          <w:rFonts w:ascii="Consolas" w:cs="Consolas" w:eastAsia="Consolas" w:hAnsi="Consolas"/>
          <w:sz w:val="20"/>
          <w:szCs w:val="20"/>
        </w:rPr>
        <w:t xml:space="preserve">meta</w:t>
      </w:r>
      <w:r>
        <w:rPr>
          <w:rFonts w:ascii="Calibri" w:cs="Calibri" w:eastAsia="Calibri" w:hAnsi="Calibri"/>
        </w:rPr>
        <w:t xml:space="preserve"> (version, build date, source file, exclusion rules text, row counts).</w:t>
      </w:r>
    </w:p>
    <w:p>
      <w:pPr>
        <w:pStyle w:val="Heading2"/>
      </w:pPr>
      <w:r>
        <w:rPr>
          <w:rFonts w:ascii="Calibri" w:cs="Calibri" w:eastAsia="Calibri" w:hAnsi="Calibri"/>
        </w:rPr>
        <w:t xml:space="preserve">3.2 etf_context.db – everything else</w:t>
      </w:r>
    </w:p>
    <w:p>
      <w:pPr>
        <w:spacing w:after="120" w:line="276"/>
      </w:pPr>
      <w:r>
        <w:rPr>
          <w:rFonts w:ascii="Calibri" w:cs="Calibri" w:eastAsia="Calibri" w:hAnsi="Calibri"/>
        </w:rPr>
        <w:t xml:space="preserve">Use this for reference and for questions like “why isn’t fund X in the tool?”. Nothing in the live logic should depend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Table / view</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holds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etf_universe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fund from the Excel (about 3,000 rows) with verify_status (confirmed / rescued / not_found), eligible (0/1) and exclusion_reason.</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etf_profile</w:t>
            </w:r>
          </w:p>
        </w:tc>
        <w:tc>
          <w:tcPr>
            <w:tcW w:type="dxa" w:w="7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Descriptive fields: name_long, fund_family, long_business_summary, morningstar_category and similar.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etf_metrics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Extra numbers: beta, sharpe_ratio, max_drawdown, week52_high/low, three_year_avg_return, income_yield, trailing_div_yield, holdings_count, theme_esg_score and price_weeks (weeks of price history found).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yahoo_raw</w:t>
            </w:r>
          </w:p>
        </w:tc>
        <w:tc>
          <w:tcPr>
            <w:tcW w:type="dxa" w:w="7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full raw Yahoo JSON for each fund, so we can add fields later without calling Yahoo again.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data_dictionary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column in all three files: description, units, source (Excel / Yahoo / derived) and how it was calculated.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refresh_log</w:t>
            </w:r>
          </w:p>
        </w:tc>
        <w:tc>
          <w:tcPr>
            <w:tcW w:type="dxa" w:w="7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History of each build or refresh: date, rows written, notes.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meta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Version and build information.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excluded_etfs (view)</w:t>
            </w:r>
          </w:p>
        </w:tc>
        <w:tc>
          <w:tcPr>
            <w:tcW w:type="dxa" w:w="7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Shortcut: all ineligible funds with the reason each was removed.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not_found_on_yahoo (optional)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Funds in the Excel that Yahoo could not find on any listing tried.</w:t>
            </w:r>
          </w:p>
        </w:tc>
      </w:tr>
    </w:tbl>
    <w:p>
      <w:pPr>
        <w:spacing w:after="120"/>
      </w:pPr>
    </w:p>
    <w:p>
      <w:pPr>
        <w:pStyle w:val="Heading2"/>
      </w:pPr>
      <w:r>
        <w:rPr>
          <w:rFonts w:ascii="Calibri" w:cs="Calibri" w:eastAsia="Calibri" w:hAnsi="Calibri"/>
        </w:rPr>
        <w:t xml:space="preserve">3.3 etf_prices.db – weekly price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Table</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holds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price_weekly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ticker, week_end, adj_close. Primary key is (ticker, week_end). One row per fund per Friday-ending week, over roughly three years. Prices are dividend-adjusted, so returns include distributions.</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price_meta</w:t>
            </w:r>
          </w:p>
        </w:tc>
        <w:tc>
          <w:tcPr>
            <w:tcW w:type="dxa" w:w="7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fund: ticker_yahoo, currency, status (ok / no_data), first_week, last_week, n_weeks, fetched_at.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meta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Version and build information.</w:t>
            </w:r>
          </w:p>
        </w:tc>
      </w:tr>
    </w:tbl>
    <w:p>
      <w:pPr>
        <w:spacing w:after="120"/>
      </w:pPr>
    </w:p>
    <w:p>
      <w:pPr>
        <w:spacing w:after="120" w:line="276"/>
      </w:pPr>
      <w:r>
        <w:rPr>
          <w:rFonts w:ascii="Calibri" w:cs="Calibri" w:eastAsia="Calibri" w:hAnsi="Calibri"/>
        </w:rPr>
        <w:t xml:space="preserve">To use the three files together, attach one database to another in SQLite and join on ticker, for example: ATTACH DATABASE 'etf_prices.db' AS px; then join etf.ticker = px.price_weekly.ticker.</w:t>
      </w:r>
    </w:p>
    <w:p>
      <w:pPr>
        <w:pStyle w:val="Heading1"/>
      </w:pPr>
      <w:r>
        <w:rPr>
          <w:rFonts w:ascii="Calibri" w:cs="Calibri" w:eastAsia="Calibri" w:hAnsi="Calibri"/>
        </w:rPr>
        <w:t xml:space="preserve">4. How the key features were built</w:t>
      </w:r>
    </w:p>
    <w:p>
      <w:pPr>
        <w:pStyle w:val="Heading2"/>
      </w:pPr>
      <w:r>
        <w:rPr>
          <w:rFonts w:ascii="Calibri" w:cs="Calibri" w:eastAsia="Calibri" w:hAnsi="Calibri"/>
        </w:rPr>
        <w:t xml:space="preserve">4.1 Volatility</w:t>
      </w:r>
    </w:p>
    <w:p>
      <w:pPr>
        <w:spacing w:after="120" w:line="276"/>
      </w:pPr>
      <w:r>
        <w:rPr>
          <w:rFonts w:ascii="Calibri" w:cs="Calibri" w:eastAsia="Calibri" w:hAnsi="Calibri"/>
        </w:rPr>
        <w:t xml:space="preserve">Volatility is how much a fund’s price swings, measured from its own history rather than a figure quoted by Yahoo, so every fund is measured the same way.</w:t>
      </w:r>
    </w:p>
    <w:p>
      <w:pPr>
        <w:pStyle w:val="ListParagraph"/>
        <w:numPr>
          <w:ilvl w:val="0"/>
          <w:numId w:val="2"/>
        </w:numPr>
        <w:spacing w:after="60" w:line="276"/>
      </w:pPr>
      <w:r>
        <w:rPr>
          <w:rFonts w:ascii="Calibri" w:cs="Calibri" w:eastAsia="Calibri" w:hAnsi="Calibri"/>
        </w:rPr>
        <w:t xml:space="preserve">Take about three years of daily dividend-adjusted closing prices (Yahoo’s auto-adjusted series).</w:t>
      </w:r>
    </w:p>
    <w:p>
      <w:pPr>
        <w:pStyle w:val="ListParagraph"/>
        <w:numPr>
          <w:ilvl w:val="0"/>
          <w:numId w:val="2"/>
        </w:numPr>
        <w:spacing w:after="60" w:line="276"/>
      </w:pPr>
      <w:r>
        <w:rPr>
          <w:rFonts w:ascii="Calibri" w:cs="Calibri" w:eastAsia="Calibri" w:hAnsi="Calibri"/>
        </w:rPr>
        <w:t xml:space="preserve">Convert to weekly by taking the last price of each week (week ending Friday). Weekly data smooths out time-zone and holiday differences between Canadian, US and European listings.</w:t>
      </w:r>
    </w:p>
    <w:p>
      <w:pPr>
        <w:pStyle w:val="ListParagraph"/>
        <w:numPr>
          <w:ilvl w:val="0"/>
          <w:numId w:val="2"/>
        </w:numPr>
        <w:spacing w:after="60" w:line="276"/>
      </w:pPr>
      <w:r>
        <w:rPr>
          <w:rFonts w:ascii="Calibri" w:cs="Calibri" w:eastAsia="Calibri" w:hAnsi="Calibri"/>
        </w:rPr>
        <w:t xml:space="preserve">Calculate each week’s percentage return.</w:t>
      </w:r>
    </w:p>
    <w:p>
      <w:pPr>
        <w:pStyle w:val="ListParagraph"/>
        <w:numPr>
          <w:ilvl w:val="0"/>
          <w:numId w:val="2"/>
        </w:numPr>
        <w:spacing w:after="60" w:line="276"/>
      </w:pPr>
      <w:r>
        <w:rPr>
          <w:rFonts w:ascii="Calibri" w:cs="Calibri" w:eastAsia="Calibri" w:hAnsi="Calibri"/>
        </w:rPr>
        <w:t xml:space="preserve">Volatility = standard deviation of weekly returns × √52 (annualised). Stored as a fraction, so 0.11 means 11%.</w:t>
      </w:r>
    </w:p>
    <w:p>
      <w:pPr>
        <w:pStyle w:val="ListParagraph"/>
        <w:numPr>
          <w:ilvl w:val="0"/>
          <w:numId w:val="2"/>
        </w:numPr>
        <w:spacing w:after="60" w:line="276"/>
      </w:pPr>
      <w:r>
        <w:rPr>
          <w:rFonts w:ascii="Calibri" w:cs="Calibri" w:eastAsia="Calibri" w:hAnsi="Calibri"/>
        </w:rPr>
        <w:t xml:space="preserve">A fund needs at least 150 weekly prices (about three years) to be scored; shorter histories are excluded rather than guessed at.</w:t>
      </w:r>
    </w:p>
    <w:p>
      <w:pPr>
        <w:spacing w:after="120" w:line="276"/>
      </w:pPr>
      <w:r>
        <w:rPr>
          <w:rFonts w:ascii="Calibri" w:cs="Calibri" w:eastAsia="Calibri" w:hAnsi="Calibri"/>
        </w:rPr>
        <w:t xml:space="preserve">Companion figures stored in etf_metrics: </w:t>
      </w:r>
      <w:r>
        <w:rPr>
          <w:rFonts w:ascii="Calibri" w:cs="Calibri" w:eastAsia="Calibri" w:hAnsi="Calibri"/>
          <w:b/>
          <w:bCs/>
        </w:rPr>
        <w:t xml:space="preserve">max drawdown</w:t>
      </w:r>
      <w:r>
        <w:rPr>
          <w:rFonts w:ascii="Calibri" w:cs="Calibri" w:eastAsia="Calibri" w:hAnsi="Calibri"/>
        </w:rPr>
        <w:t xml:space="preserve"> (worst peak-to-trough fall in the weekly series) and </w:t>
      </w:r>
      <w:r>
        <w:rPr>
          <w:rFonts w:ascii="Calibri" w:cs="Calibri" w:eastAsia="Calibri" w:hAnsi="Calibri"/>
          <w:b/>
          <w:bCs/>
        </w:rPr>
        <w:t xml:space="preserve">Sharpe ratio</w:t>
      </w:r>
      <w:r>
        <w:rPr>
          <w:rFonts w:ascii="Calibri" w:cs="Calibri" w:eastAsia="Calibri" w:hAnsi="Calibri"/>
        </w:rPr>
        <w:t xml:space="preserve"> = (average weekly return × 52 − risk-free rate) ÷ volatility, with the risk-free rate set to 0 for simplicity.</w:t>
      </w:r>
    </w:p>
    <w:p>
      <w:pPr>
        <w:spacing w:after="120" w:line="276"/>
      </w:pPr>
      <w:r>
        <w:rPr>
          <w:rFonts w:ascii="Calibri" w:cs="Calibri" w:eastAsia="Calibri" w:hAnsi="Calibri"/>
          <w:b/>
          <w:bCs/>
        </w:rPr>
        <w:t xml:space="preserve">Note: </w:t>
      </w:r>
      <w:r>
        <w:rPr>
          <w:rFonts w:ascii="Calibri" w:cs="Calibri" w:eastAsia="Calibri" w:hAnsi="Calibri"/>
        </w:rPr>
        <w:t xml:space="preserve">volatility is measured in each fund’s trading currency, so a USD fund’s figure includes exchange-rate moves only if it is CAD-listed and unhedged. It is not converted to CAD.</w:t>
      </w:r>
    </w:p>
    <w:p>
      <w:pPr>
        <w:pStyle w:val="Heading2"/>
      </w:pPr>
      <w:r>
        <w:rPr>
          <w:rFonts w:ascii="Calibri" w:cs="Calibri" w:eastAsia="Calibri" w:hAnsi="Calibri"/>
        </w:rPr>
        <w:t xml:space="preserve">4.2 Risk tier</w:t>
      </w:r>
    </w:p>
    <w:p>
      <w:pPr>
        <w:spacing w:after="120" w:line="276"/>
      </w:pPr>
      <w:r>
        <w:rPr>
          <w:rFonts w:ascii="Calibri" w:cs="Calibri" w:eastAsia="Calibri" w:hAnsi="Calibri"/>
        </w:rPr>
        <w:t xml:space="preserve">The risk tier turns volatility into the three labels the Client Flow uses to cap what a client may hold. The cut-offs come from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Risk tier</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Annualized volatility</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Typical funds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Low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below 11%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Short-term and broad bond funds, cash-like funds.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 to under 20%</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Balanced and broad equity index funds, some commodities.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High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or more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Sector, emerging market, leveraged and crypto-related funds.</w:t>
            </w:r>
          </w:p>
        </w:tc>
      </w:tr>
    </w:tbl>
    <w:p>
      <w:pPr>
        <w:spacing w:after="120"/>
      </w:pPr>
    </w:p>
    <w:p>
      <w:pPr>
        <w:spacing w:after="120" w:line="276"/>
      </w:pPr>
      <w:r>
        <w:rPr>
          <w:rFonts w:ascii="Calibri" w:cs="Calibri" w:eastAsia="Calibri" w:hAnsi="Calibri"/>
        </w:rPr>
        <w:t xml:space="preserve">Boundaries are “from and including the lower figure”, so exactly 11% is Medium and exactly 20% is High. The tier is a pure function of the volatility column, so changing a cut-off means recomputing from the stored volatility with no new data pull. The Client Flow uses the tier as a ceiling: a client’s risk profile decides the highest tier of fund they may be offered.</w:t>
      </w:r>
    </w:p>
    <w:p>
      <w:pPr>
        <w:pStyle w:val="Heading2"/>
      </w:pPr>
      <w:r>
        <w:rPr>
          <w:rFonts w:ascii="Calibri" w:cs="Calibri" w:eastAsia="Calibri" w:hAnsi="Calibri"/>
        </w:rPr>
        <w:t xml:space="preserve">4.3 Themes</w:t>
      </w:r>
    </w:p>
    <w:p>
      <w:pPr>
        <w:spacing w:after="120" w:line="276"/>
      </w:pPr>
      <w:r>
        <w:rPr>
          <w:rFonts w:ascii="Calibri" w:cs="Calibri" w:eastAsia="Calibri" w:hAnsi="Calibri"/>
        </w:rPr>
        <w:t xml:space="preserve">Yahoo gives no clean “theme” field for ETFs, so themes come from ordered keyword rules applied to the fund name and Yahoo’s Morningstar category. The first rule that matches wins. Themes are only assigned to funds that are about a sector or subject, not to broad-market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Theme</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Examples of words that trigger 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Crypto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bitcoin, ether, crypto, blockchain</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Clean Energy</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clean energy, renewable, solar, wind, low carbon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Technology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technology, tech, software, semiconductor, cloud, robotics, AI</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Health Care</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health, biotech, pharma, medical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Financials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financial, bank, insurance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Infrastructure</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infrastructure, utilities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Resources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 miners, energy, oil, materials, mining, resources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Consumer</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consumer, retail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Industrials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industrial</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Inflation-Protected (bonds)</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TIPS, inflation, real return bonds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ESG (fallback)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if no sector theme matches but the fund is flagged ESG</w:t>
            </w:r>
          </w:p>
        </w:tc>
      </w:tr>
    </w:tbl>
    <w:p>
      <w:pPr>
        <w:spacing w:after="120"/>
      </w:pPr>
    </w:p>
    <w:p>
      <w:pPr>
        <w:spacing w:after="120" w:line="276"/>
      </w:pPr>
      <w:r>
        <w:rPr>
          <w:rFonts w:ascii="Calibri" w:cs="Calibri" w:eastAsia="Calibri" w:hAnsi="Calibri"/>
          <w:b/>
          <w:bCs/>
        </w:rPr>
        <w:t xml:space="preserve">ESG is a flag, not a sector. </w:t>
      </w:r>
      <w:r>
        <w:rPr>
          <w:rFonts w:ascii="Calibri" w:cs="Calibri" w:eastAsia="Calibri" w:hAnsi="Calibri"/>
        </w:rPr>
        <w:t xml:space="preserve">The is_esg column is set when the name contains words from an extendable list (ESG, responsible, sustainable, SRI, climate, low carbon, fossil-free and similar). A fund can be both ESG and a sector theme. The list lives in the notebook as ESG_KEYWORDS and can be extended. The Yahoo ESG score is usually empty for ETFs, so it is not relied on.</w:t>
      </w:r>
    </w:p>
    <w:p>
      <w:pPr>
        <w:spacing w:after="120" w:line="276"/>
      </w:pPr>
      <w:r>
        <w:rPr>
          <w:rFonts w:ascii="Calibri" w:cs="Calibri" w:eastAsia="Calibri" w:hAnsi="Calibri"/>
          <w:b/>
          <w:bCs/>
        </w:rPr>
        <w:t xml:space="preserve">Fixing mistakes: </w:t>
      </w:r>
      <w:r>
        <w:rPr>
          <w:rFonts w:ascii="Calibri" w:cs="Calibri" w:eastAsia="Calibri" w:hAnsi="Calibri"/>
        </w:rPr>
        <w:t xml:space="preserve">because these are name-based rules, a few funds will be wrong. The notebook has override tables (REGION_OVERRIDE, CATEGORY_OVERRIDE, ESG_OVERRIDE and a ticker-level OVERRIDES) for correcting individual funds without touching the rules.</w:t>
      </w:r>
    </w:p>
    <w:p>
      <w:pPr>
        <w:pStyle w:val="Heading2"/>
      </w:pPr>
      <w:r>
        <w:rPr>
          <w:rFonts w:ascii="Calibri" w:cs="Calibri" w:eastAsia="Calibri" w:hAnsi="Calibri"/>
        </w:rPr>
        <w:t xml:space="preserve">4.4 Region</w:t>
      </w:r>
    </w:p>
    <w:p>
      <w:pPr>
        <w:spacing w:after="120" w:line="276"/>
      </w:pPr>
      <w:r>
        <w:rPr>
          <w:rFonts w:ascii="Calibri" w:cs="Calibri" w:eastAsia="Calibri" w:hAnsi="Calibri"/>
        </w:rPr>
        <w:t xml:space="preserve">Region is read from the fund name using ordered rules, with this priority: Emerging Markets, then International, then Global, then Canada, then US. If no region word is found, fall-backs apply:</w:t>
      </w:r>
    </w:p>
    <w:p>
      <w:pPr>
        <w:pStyle w:val="ListParagraph"/>
        <w:numPr>
          <w:ilvl w:val="0"/>
          <w:numId w:val="2"/>
        </w:numPr>
        <w:spacing w:after="60" w:line="276"/>
      </w:pPr>
      <w:r>
        <w:rPr>
          <w:rFonts w:ascii="Calibri" w:cs="Calibri" w:eastAsia="Calibri" w:hAnsi="Calibri"/>
        </w:rPr>
        <w:t xml:space="preserve">Commodity funds → Global.</w:t>
      </w:r>
    </w:p>
    <w:p>
      <w:pPr>
        <w:pStyle w:val="ListParagraph"/>
        <w:numPr>
          <w:ilvl w:val="0"/>
          <w:numId w:val="2"/>
        </w:numPr>
        <w:spacing w:after="60" w:line="276"/>
      </w:pPr>
      <w:r>
        <w:rPr>
          <w:rFonts w:ascii="Calibri" w:cs="Calibri" w:eastAsia="Calibri" w:hAnsi="Calibri"/>
        </w:rPr>
        <w:t xml:space="preserve">US-listed funds → US.</w:t>
      </w:r>
    </w:p>
    <w:p>
      <w:pPr>
        <w:pStyle w:val="ListParagraph"/>
        <w:numPr>
          <w:ilvl w:val="0"/>
          <w:numId w:val="2"/>
        </w:numPr>
        <w:spacing w:after="60" w:line="276"/>
      </w:pPr>
      <w:r>
        <w:rPr>
          <w:rFonts w:ascii="Calibri" w:cs="Calibri" w:eastAsia="Calibri" w:hAnsi="Calibri"/>
        </w:rPr>
        <w:t xml:space="preserve">Canadian-listed Bond or Real Estate funds → Canada.</w:t>
      </w:r>
    </w:p>
    <w:p>
      <w:pPr>
        <w:pStyle w:val="ListParagraph"/>
        <w:numPr>
          <w:ilvl w:val="0"/>
          <w:numId w:val="2"/>
        </w:numPr>
        <w:spacing w:after="60" w:line="276"/>
      </w:pPr>
      <w:r>
        <w:rPr>
          <w:rFonts w:ascii="Calibri" w:cs="Calibri" w:eastAsia="Calibri" w:hAnsi="Calibri"/>
        </w:rPr>
        <w:t xml:space="preserve">Canadian-listed Equity funds with no region word → </w:t>
      </w:r>
      <w:r>
        <w:rPr>
          <w:rFonts w:ascii="Calibri" w:cs="Calibri" w:eastAsia="Calibri" w:hAnsi="Calibri"/>
          <w:b/>
          <w:bCs/>
        </w:rPr>
        <w:t xml:space="preserve">North America</w:t>
      </w:r>
      <w:r>
        <w:rPr>
          <w:rFonts w:ascii="Calibri" w:cs="Calibri" w:eastAsia="Calibri" w:hAnsi="Calibri"/>
        </w:rPr>
        <w:t xml:space="preserve"> (a project decision).</w:t>
      </w:r>
    </w:p>
    <w:p>
      <w:pPr>
        <w:pStyle w:val="ListParagraph"/>
        <w:numPr>
          <w:ilvl w:val="0"/>
          <w:numId w:val="2"/>
        </w:numPr>
        <w:spacing w:after="60" w:line="276"/>
      </w:pPr>
      <w:r>
        <w:rPr>
          <w:rFonts w:ascii="Calibri" w:cs="Calibri" w:eastAsia="Calibri" w:hAnsi="Calibri"/>
        </w:rPr>
        <w:t xml:space="preserve">Anything else → Unknown.</w:t>
      </w:r>
    </w:p>
    <w:p>
      <w:pPr>
        <w:spacing w:after="120" w:line="276"/>
      </w:pPr>
      <w:r>
        <w:rPr>
          <w:rFonts w:ascii="Calibri" w:cs="Calibri" w:eastAsia="Calibri" w:hAnsi="Calibri"/>
        </w:rPr>
        <w:t xml:space="preserve">Words like CAD and USD no longer count as regions because they describe currency, not where the companies are.</w:t>
      </w:r>
    </w:p>
    <w:p>
      <w:pPr>
        <w:pStyle w:val="Heading2"/>
      </w:pPr>
      <w:r>
        <w:rPr>
          <w:rFonts w:ascii="Calibri" w:cs="Calibri" w:eastAsia="Calibri" w:hAnsi="Calibri"/>
        </w:rPr>
        <w:t xml:space="preserve">4.5 ETF category, income and the other flags</w:t>
      </w:r>
    </w:p>
    <w:p>
      <w:pPr>
        <w:pStyle w:val="ListParagraph"/>
        <w:numPr>
          <w:ilvl w:val="0"/>
          <w:numId w:val="2"/>
        </w:numPr>
        <w:spacing w:after="60" w:line="276"/>
      </w:pPr>
      <w:r>
        <w:rPr>
          <w:rFonts w:ascii="Calibri" w:cs="Calibri" w:eastAsia="Calibri" w:hAnsi="Calibri"/>
          <w:b/>
          <w:bCs/>
        </w:rPr>
        <w:t xml:space="preserve">etf_category: </w:t>
      </w:r>
      <w:r>
        <w:rPr>
          <w:rFonts w:ascii="Calibri" w:cs="Calibri" w:eastAsia="Calibri" w:hAnsi="Calibri"/>
        </w:rPr>
        <w:t xml:space="preserve">combines asset_class, region and the name. Equity + Canada → Canadian stocks; Equity + US → US stocks; Equity + International → International stocks; Equity + Emerging Markets → Emerging markets stocks; Bond + Canada split into all-maturity and short-term by name; other bonds → Global bonds; Real Estate → Real estate; Commodity → Commodities; cash-like names → Cash; themed funds → Sector or theme; anything else → Other. Global stock funds are deliberately left as Other for now.</w:t>
      </w:r>
    </w:p>
    <w:p>
      <w:pPr>
        <w:pStyle w:val="ListParagraph"/>
        <w:numPr>
          <w:ilvl w:val="0"/>
          <w:numId w:val="2"/>
        </w:numPr>
        <w:spacing w:after="60" w:line="276"/>
      </w:pPr>
      <w:r>
        <w:rPr>
          <w:rFonts w:ascii="Calibri" w:cs="Calibri" w:eastAsia="Calibri" w:hAnsi="Calibri"/>
          <w:b/>
          <w:bCs/>
        </w:rPr>
        <w:t xml:space="preserve">income: </w:t>
      </w:r>
      <w:r>
        <w:rPr>
          <w:rFonts w:ascii="Calibri" w:cs="Calibri" w:eastAsia="Calibri" w:hAnsi="Calibri"/>
        </w:rPr>
        <w:t xml:space="preserve">set for Equity and Real Estate funds whose names include dividend or income words. Bond funds are not flagged, since all bonds pay income.</w:t>
      </w:r>
    </w:p>
    <w:p>
      <w:pPr>
        <w:pStyle w:val="ListParagraph"/>
        <w:numPr>
          <w:ilvl w:val="0"/>
          <w:numId w:val="2"/>
        </w:numPr>
        <w:spacing w:after="60" w:line="276"/>
      </w:pPr>
      <w:r>
        <w:rPr>
          <w:rFonts w:ascii="Calibri" w:cs="Calibri" w:eastAsia="Calibri" w:hAnsi="Calibri"/>
          <w:b/>
          <w:bCs/>
        </w:rPr>
        <w:t xml:space="preserve">leveraged / leverage_factor: </w:t>
      </w:r>
      <w:r>
        <w:rPr>
          <w:rFonts w:ascii="Calibri" w:cs="Calibri" w:eastAsia="Calibri" w:hAnsi="Calibri"/>
        </w:rPr>
        <w:t xml:space="preserve">read from the name (2x, 3x, “bull”, “leveraged”), using a tight pattern so words like “short-term” are not mistaken for inverse or leveraged.</w:t>
      </w:r>
    </w:p>
    <w:p>
      <w:pPr>
        <w:pStyle w:val="ListParagraph"/>
        <w:numPr>
          <w:ilvl w:val="0"/>
          <w:numId w:val="2"/>
        </w:numPr>
        <w:spacing w:after="60" w:line="276"/>
      </w:pPr>
      <w:r>
        <w:rPr>
          <w:rFonts w:ascii="Calibri" w:cs="Calibri" w:eastAsia="Calibri" w:hAnsi="Calibri"/>
          <w:b/>
          <w:bCs/>
        </w:rPr>
        <w:t xml:space="preserve">cad_hedged: </w:t>
      </w:r>
      <w:r>
        <w:rPr>
          <w:rFonts w:ascii="Calibri" w:cs="Calibri" w:eastAsia="Calibri" w:hAnsi="Calibri"/>
        </w:rPr>
        <w:t xml:space="preserve">name contains “CAD-hedged” or similar.</w:t>
      </w:r>
    </w:p>
    <w:p>
      <w:pPr>
        <w:pStyle w:val="ListParagraph"/>
        <w:numPr>
          <w:ilvl w:val="0"/>
          <w:numId w:val="2"/>
        </w:numPr>
        <w:spacing w:after="60" w:line="276"/>
      </w:pPr>
      <w:r>
        <w:rPr>
          <w:rFonts w:ascii="Calibri" w:cs="Calibri" w:eastAsia="Calibri" w:hAnsi="Calibri"/>
          <w:b/>
          <w:bCs/>
        </w:rPr>
        <w:t xml:space="preserve">mer_pct: </w:t>
      </w:r>
      <w:r>
        <w:rPr>
          <w:rFonts w:ascii="Calibri" w:cs="Calibri" w:eastAsia="Calibri" w:hAnsi="Calibri"/>
        </w:rPr>
        <w:t xml:space="preserve">Yahoo’s net expense ratio (falling back to the annual report ratio), stored in percent.</w:t>
      </w:r>
    </w:p>
    <w:p>
      <w:pPr>
        <w:pStyle w:val="Heading1"/>
      </w:pPr>
      <w:r>
        <w:rPr>
          <w:rFonts w:ascii="Calibri" w:cs="Calibri" w:eastAsia="Calibri" w:hAnsi="Calibri"/>
        </w:rPr>
        <w:t xml:space="preserve">5. Which funds were excluded</w:t>
      </w:r>
    </w:p>
    <w:p>
      <w:pPr>
        <w:spacing w:after="120" w:line="276"/>
      </w:pPr>
      <w:r>
        <w:rPr>
          <w:rFonts w:ascii="Calibri" w:cs="Calibri" w:eastAsia="Calibri" w:hAnsi="Calibri"/>
        </w:rPr>
        <w:t xml:space="preserve">Rules are applied in order and the first one that fails is recorded as the exclusion_reason. The same text is stored in the meta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8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Rule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1</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listed in Canada or the US (UK, German, Italian and other listings are removed).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2</w:t>
            </w:r>
          </w:p>
        </w:tc>
        <w:tc>
          <w:tcPr>
            <w:tcW w:type="dxa" w:w="8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Yahoo does not confirm it as an ETF (quoteType must be ETF), or not found at all.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3</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Inverse fund.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4</w:t>
            </w:r>
          </w:p>
        </w:tc>
        <w:tc>
          <w:tcPr>
            <w:tcW w:type="dxa" w:w="8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Missing a key figure: total assets, average volume or MER.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5</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Too small: under C$100M (US$250M for US-listed).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6</w:t>
            </w:r>
          </w:p>
        </w:tc>
        <w:tc>
          <w:tcPr>
            <w:tcW w:type="dxa" w:w="8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Too thinly traded: under 10,000 shares a day (1,000 for Canadian-listed).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7</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Fewer than 150 weekly prices (too little history to score).</w:t>
            </w:r>
          </w:p>
        </w:tc>
      </w:tr>
    </w:tbl>
    <w:p>
      <w:pPr>
        <w:spacing w:after="120"/>
      </w:pPr>
    </w:p>
    <w:p>
      <w:pPr>
        <w:spacing w:after="120" w:line="276"/>
      </w:pPr>
      <w:r>
        <w:rPr>
          <w:rFonts w:ascii="Calibri" w:cs="Calibri" w:eastAsia="Calibri" w:hAnsi="Calibri"/>
        </w:rPr>
        <w:t xml:space="preserve">Every eligible fund is in the core file, which is more than the 500-fund sample shown in the spec PDF. If the project lead wants a shorter list, filter by the ranking in the flow rather than changing the rules.</w:t>
      </w:r>
    </w:p>
    <w:p>
      <w:pPr>
        <w:pStyle w:val="Heading1"/>
      </w:pPr>
      <w:r>
        <w:rPr>
          <w:rFonts w:ascii="Calibri" w:cs="Calibri" w:eastAsia="Calibri" w:hAnsi="Calibri"/>
        </w:rPr>
        <w:t xml:space="preserve">6. How this maps to the Robo-Kit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Flow step</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Where the data comes from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Risk ceiling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etf.risk_tier in etf_core.db.</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Preferences: region, ESG, income</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etf.region, etf.is_esg, etf.income.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Fund selection per category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Filter etf_category, then rank by lowest mer_pct (treat MERs within 0.05% as tied, then prefer larger aum_cad_m, then higher volume, then Canadian-listed).</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Correlation check (keep under about 0.95)</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price_weekly in etf_prices.db, using weekly returns.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Optimizer (mean-variance for Moderate and High, minimum-variance for Low)</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Mean returns and covariance from price_weekly. Stock/bond limits: Low 20–40 / 60–80, Moderate 50–70 / 30–50, High 75–95 / 5–25; each class 5–40%.</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Monte Carlo projection (GBM)</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Expected return and volatility from the optimized portfolio built on price_weekly.</w:t>
            </w:r>
          </w:p>
        </w:tc>
      </w:tr>
    </w:tbl>
    <w:p>
      <w:pPr>
        <w:spacing w:after="120"/>
      </w:pPr>
    </w:p>
    <w:p>
      <w:pPr>
        <w:pStyle w:val="Heading1"/>
      </w:pPr>
      <w:r>
        <w:rPr>
          <w:rFonts w:ascii="Calibri" w:cs="Calibri" w:eastAsia="Calibri" w:hAnsi="Calibri"/>
        </w:rPr>
        <w:t xml:space="preserve">7. Known limits and open decisions</w:t>
      </w:r>
    </w:p>
    <w:p>
      <w:pPr>
        <w:pStyle w:val="ListParagraph"/>
        <w:numPr>
          <w:ilvl w:val="0"/>
          <w:numId w:val="2"/>
        </w:numPr>
        <w:spacing w:after="60" w:line="276"/>
      </w:pPr>
      <w:r>
        <w:rPr>
          <w:rFonts w:ascii="Calibri" w:cs="Calibri" w:eastAsia="Calibri" w:hAnsi="Calibri"/>
          <w:b/>
          <w:bCs/>
        </w:rPr>
        <w:t xml:space="preserve">North America and Other: </w:t>
      </w:r>
      <w:r>
        <w:rPr>
          <w:rFonts w:ascii="Calibri" w:cs="Calibri" w:eastAsia="Calibri" w:hAnsi="Calibri"/>
        </w:rPr>
        <w:t xml:space="preserve">funds with these labels cannot fill one of the seven core category slots, and the front-end region filter has no “North America” option. The project lead needs to decide whether to map them (for example to Canada or US) or keep them out of the core selection.</w:t>
      </w:r>
    </w:p>
    <w:p>
      <w:pPr>
        <w:pStyle w:val="ListParagraph"/>
        <w:numPr>
          <w:ilvl w:val="0"/>
          <w:numId w:val="2"/>
        </w:numPr>
        <w:spacing w:after="60" w:line="276"/>
      </w:pPr>
      <w:r>
        <w:rPr>
          <w:rFonts w:ascii="Calibri" w:cs="Calibri" w:eastAsia="Calibri" w:hAnsi="Calibri"/>
          <w:b/>
          <w:bCs/>
        </w:rPr>
        <w:t xml:space="preserve">Cash: </w:t>
      </w:r>
      <w:r>
        <w:rPr>
          <w:rFonts w:ascii="Calibri" w:cs="Calibri" w:eastAsia="Calibri" w:hAnsi="Calibri"/>
        </w:rPr>
        <w:t xml:space="preserve">the Excel has no Cash sheet, so cash-like funds only appear if the name rules catch them. Check the Cash category has enough funds.</w:t>
      </w:r>
    </w:p>
    <w:p>
      <w:pPr>
        <w:pStyle w:val="ListParagraph"/>
        <w:numPr>
          <w:ilvl w:val="0"/>
          <w:numId w:val="2"/>
        </w:numPr>
        <w:spacing w:after="60" w:line="276"/>
      </w:pPr>
      <w:r>
        <w:rPr>
          <w:rFonts w:ascii="Calibri" w:cs="Calibri" w:eastAsia="Calibri" w:hAnsi="Calibri"/>
          <w:b/>
          <w:bCs/>
        </w:rPr>
        <w:t xml:space="preserve">Volume: </w:t>
      </w:r>
      <w:r>
        <w:rPr>
          <w:rFonts w:ascii="Calibri" w:cs="Calibri" w:eastAsia="Calibri" w:hAnsi="Calibri"/>
        </w:rPr>
        <w:t xml:space="preserve">Yahoo’s “average volume” is really a three-month average, used here as the 30-day figure.</w:t>
      </w:r>
    </w:p>
    <w:p>
      <w:pPr>
        <w:pStyle w:val="ListParagraph"/>
        <w:numPr>
          <w:ilvl w:val="0"/>
          <w:numId w:val="2"/>
        </w:numPr>
        <w:spacing w:after="60" w:line="276"/>
      </w:pPr>
      <w:r>
        <w:rPr>
          <w:rFonts w:ascii="Calibri" w:cs="Calibri" w:eastAsia="Calibri" w:hAnsi="Calibri"/>
          <w:b/>
          <w:bCs/>
        </w:rPr>
        <w:t xml:space="preserve">MER fill rate: </w:t>
      </w:r>
      <w:r>
        <w:rPr>
          <w:rFonts w:ascii="Calibri" w:cs="Calibri" w:eastAsia="Calibri" w:hAnsi="Calibri"/>
        </w:rPr>
        <w:t xml:space="preserve">Yahoo’s expense ratio may be missing for many Canadian ETFs. Because MER is a required figure, those funds drop out. Check the exclusion counts before relying on the list.</w:t>
      </w:r>
    </w:p>
    <w:p>
      <w:pPr>
        <w:pStyle w:val="ListParagraph"/>
        <w:numPr>
          <w:ilvl w:val="0"/>
          <w:numId w:val="2"/>
        </w:numPr>
        <w:spacing w:after="60" w:line="276"/>
      </w:pPr>
      <w:r>
        <w:rPr>
          <w:rFonts w:ascii="Calibri" w:cs="Calibri" w:eastAsia="Calibri" w:hAnsi="Calibri"/>
          <w:b/>
          <w:bCs/>
        </w:rPr>
        <w:t xml:space="preserve">ESG score and holdings count: </w:t>
      </w:r>
      <w:r>
        <w:rPr>
          <w:rFonts w:ascii="Calibri" w:cs="Calibri" w:eastAsia="Calibri" w:hAnsi="Calibri"/>
        </w:rPr>
        <w:t xml:space="preserve">mostly empty from Yahoo for ETFs, so these columns are not reliable.</w:t>
      </w:r>
    </w:p>
    <w:p>
      <w:pPr>
        <w:pStyle w:val="ListParagraph"/>
        <w:numPr>
          <w:ilvl w:val="0"/>
          <w:numId w:val="2"/>
        </w:numPr>
        <w:spacing w:after="60" w:line="276"/>
      </w:pPr>
      <w:r>
        <w:rPr>
          <w:rFonts w:ascii="Calibri" w:cs="Calibri" w:eastAsia="Calibri" w:hAnsi="Calibri"/>
          <w:b/>
          <w:bCs/>
        </w:rPr>
        <w:t xml:space="preserve">Currency: </w:t>
      </w:r>
      <w:r>
        <w:rPr>
          <w:rFonts w:ascii="Calibri" w:cs="Calibri" w:eastAsia="Calibri" w:hAnsi="Calibri"/>
        </w:rPr>
        <w:t xml:space="preserve">volatility is in the fund’s trading currency and is not converted to CAD.</w:t>
      </w:r>
    </w:p>
    <w:p>
      <w:pPr>
        <w:pStyle w:val="ListParagraph"/>
        <w:numPr>
          <w:ilvl w:val="0"/>
          <w:numId w:val="2"/>
        </w:numPr>
        <w:spacing w:after="60" w:line="276"/>
      </w:pPr>
      <w:r>
        <w:rPr>
          <w:rFonts w:ascii="Calibri" w:cs="Calibri" w:eastAsia="Calibri" w:hAnsi="Calibri"/>
          <w:b/>
          <w:bCs/>
        </w:rPr>
        <w:t xml:space="preserve">Name-based rules: </w:t>
      </w:r>
      <w:r>
        <w:rPr>
          <w:rFonts w:ascii="Calibri" w:cs="Calibri" w:eastAsia="Calibri" w:hAnsi="Calibri"/>
        </w:rPr>
        <w:t xml:space="preserve">region, theme, ESG, income and leverage come from name keywords. They are good, not perfect; send me any wrong ones and I will add an override.</w:t>
      </w:r>
    </w:p>
    <w:p>
      <w:pPr>
        <w:pStyle w:val="ListParagraph"/>
        <w:numPr>
          <w:ilvl w:val="0"/>
          <w:numId w:val="2"/>
        </w:numPr>
        <w:spacing w:after="60" w:line="276"/>
      </w:pPr>
      <w:r>
        <w:rPr>
          <w:rFonts w:ascii="Calibri" w:cs="Calibri" w:eastAsia="Calibri" w:hAnsi="Calibri"/>
          <w:b/>
          <w:bCs/>
        </w:rPr>
        <w:t xml:space="preserve">Units: </w:t>
      </w:r>
      <w:r>
        <w:rPr>
          <w:rFonts w:ascii="Calibri" w:cs="Calibri" w:eastAsia="Calibri" w:hAnsi="Calibri"/>
        </w:rPr>
        <w:t xml:space="preserve">MER is in percent; volatility is a fraction. Yahoo yields and returns are fractions – confirm this before displaying them.</w:t>
      </w:r>
    </w:p>
    <w:p>
      <w:pPr>
        <w:pStyle w:val="ListParagraph"/>
        <w:numPr>
          <w:ilvl w:val="0"/>
          <w:numId w:val="2"/>
        </w:numPr>
        <w:spacing w:after="60" w:line="276"/>
      </w:pPr>
      <w:r>
        <w:rPr>
          <w:rFonts w:ascii="Calibri" w:cs="Calibri" w:eastAsia="Calibri" w:hAnsi="Calibri"/>
          <w:b/>
          <w:bCs/>
        </w:rPr>
        <w:t xml:space="preserve">Snapshot: </w:t>
      </w:r>
      <w:r>
        <w:rPr>
          <w:rFonts w:ascii="Calibri" w:cs="Calibri" w:eastAsia="Calibri" w:hAnsi="Calibri"/>
        </w:rPr>
        <w:t xml:space="preserve">the data is a point-in-time pull. Prices and fund sizes change, so expect refreshes.</w:t>
      </w:r>
    </w:p>
    <w:p>
      <w:pPr>
        <w:pStyle w:val="Heading1"/>
      </w:pPr>
      <w:r>
        <w:rPr>
          <w:rFonts w:ascii="Calibri" w:cs="Calibri" w:eastAsia="Calibri" w:hAnsi="Calibri"/>
        </w:rPr>
        <w:t xml:space="preserve">8. Updating and versioning</w:t>
      </w:r>
    </w:p>
    <w:p>
      <w:pPr>
        <w:pStyle w:val="ListParagraph"/>
        <w:numPr>
          <w:ilvl w:val="0"/>
          <w:numId w:val="2"/>
        </w:numPr>
        <w:spacing w:after="60" w:line="276"/>
      </w:pPr>
      <w:r>
        <w:rPr>
          <w:rFonts w:ascii="Calibri" w:cs="Calibri" w:eastAsia="Calibri" w:hAnsi="Calibri"/>
        </w:rPr>
        <w:t xml:space="preserve">Only the owner writes to etf_core.db and etf_context.db. Refreshes use upsert on ticker (INSERT … ON CONFLICT(ticker) DO UPDATE), so existing rows are updated and new funds added without wiping anything.</w:t>
      </w:r>
    </w:p>
    <w:p>
      <w:pPr>
        <w:pStyle w:val="ListParagraph"/>
        <w:numPr>
          <w:ilvl w:val="0"/>
          <w:numId w:val="2"/>
        </w:numPr>
        <w:spacing w:after="60" w:line="276"/>
      </w:pPr>
      <w:r>
        <w:rPr>
          <w:rFonts w:ascii="Calibri" w:cs="Calibri" w:eastAsia="Calibri" w:hAnsi="Calibri"/>
        </w:rPr>
        <w:t xml:space="preserve">Each file stores a version number (PRAGMA user_version) and build details in meta. Dated copies are saved as name_v1_YYYYMMDD.db in the handover folder so you can always see which snapshot you are on.</w:t>
      </w:r>
    </w:p>
    <w:p>
      <w:pPr>
        <w:pStyle w:val="ListParagraph"/>
        <w:numPr>
          <w:ilvl w:val="0"/>
          <w:numId w:val="2"/>
        </w:numPr>
        <w:spacing w:after="60" w:line="276"/>
      </w:pPr>
      <w:r>
        <w:rPr>
          <w:rFonts w:ascii="Calibri" w:cs="Calibri" w:eastAsia="Calibri" w:hAnsi="Calibri"/>
        </w:rPr>
        <w:t xml:space="preserve">Prices are refreshed by adding new weeks and keeping the trailing three years; volatility and risk tier are then recomputed.</w:t>
      </w:r>
    </w:p>
    <w:p>
      <w:pPr>
        <w:pStyle w:val="ListParagraph"/>
        <w:numPr>
          <w:ilvl w:val="0"/>
          <w:numId w:val="2"/>
        </w:numPr>
        <w:spacing w:after="60" w:line="276"/>
      </w:pPr>
      <w:r>
        <w:rPr>
          <w:rFonts w:ascii="Calibri" w:cs="Calibri" w:eastAsia="Calibri" w:hAnsi="Calibri"/>
        </w:rPr>
        <w:t xml:space="preserve">If you need a column that does not exist, ask for it; the raw Yahoo data in etf_context.db often means it can be added without a new data pull.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Robo-Kit ETF Databases – Handover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0169E856857648B5E314D76F10E698" ma:contentTypeVersion="11" ma:contentTypeDescription="Create a new document." ma:contentTypeScope="" ma:versionID="f9352a678da06753097a680dab6e7d90">
  <xsd:schema xmlns:xsd="http://www.w3.org/2001/XMLSchema" xmlns:xs="http://www.w3.org/2001/XMLSchema" xmlns:p="http://schemas.microsoft.com/office/2006/metadata/properties" xmlns:ns2="9c3c1277-c2b1-4948-bbfe-df13807bce37" xmlns:ns3="dacdd42e-7bee-443a-a1af-4a15f2e3ed5b" targetNamespace="http://schemas.microsoft.com/office/2006/metadata/properties" ma:root="true" ma:fieldsID="1bee0d6ef8b9ec7adac72b904846cd10" ns2:_="" ns3:_="">
    <xsd:import namespace="9c3c1277-c2b1-4948-bbfe-df13807bce37"/>
    <xsd:import namespace="dacdd42e-7bee-443a-a1af-4a15f2e3ed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c1277-c2b1-4948-bbfe-df13807bc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d2e69d-a885-47d9-a849-8bc90acf94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cdd42e-7bee-443a-a1af-4a15f2e3ed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04916b-3a31-4af6-a753-e484e8f48a7e}" ma:internalName="TaxCatchAll" ma:showField="CatchAllData" ma:web="dacdd42e-7bee-443a-a1af-4a15f2e3ed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3c1277-c2b1-4948-bbfe-df13807bce37">
      <Terms xmlns="http://schemas.microsoft.com/office/infopath/2007/PartnerControls"/>
    </lcf76f155ced4ddcb4097134ff3c332f>
    <TaxCatchAll xmlns="dacdd42e-7bee-443a-a1af-4a15f2e3ed5b" xsi:nil="true"/>
  </documentManagement>
</p:properties>
</file>

<file path=customXml/itemProps1.xml><?xml version="1.0" encoding="utf-8"?>
<ds:datastoreItem xmlns:ds="http://schemas.openxmlformats.org/officeDocument/2006/customXml" ds:itemID="{F713CF4A-7E1E-4741-8FA7-D8451C253371}"/>
</file>

<file path=customXml/itemProps2.xml><?xml version="1.0" encoding="utf-8"?>
<ds:datastoreItem xmlns:ds="http://schemas.openxmlformats.org/officeDocument/2006/customXml" ds:itemID="{1CE3432D-EFA6-4926-AE1C-A131D1FF5027}"/>
</file>

<file path=customXml/itemProps3.xml><?xml version="1.0" encoding="utf-8"?>
<ds:datastoreItem xmlns:ds="http://schemas.openxmlformats.org/officeDocument/2006/customXml" ds:itemID="{E1B20A65-6ABA-43B4-A1DE-6F3A70B7350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Robo-Kit ETF Databases – Handover Notes</dc:title>
  <dc:creator>Robo-Kit data team</dc:creator>
  <cp:lastModifiedBy>Un-named</cp:lastModifiedBy>
  <cp:revision>1</cp:revision>
  <dcterms:created xsi:type="dcterms:W3CDTF">2026-10-13T12:47:04Z</dcterms:created>
  <dcterms:modified xsi:type="dcterms:W3CDTF">2026-10-13T12:47:04Z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0x0101005D0169E856857648B5E314D76F10E698</vt:lpwstr>
  </property>
</Properties>
</file>