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Service-Leitfaden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Mobilfunk-Übertragung (LTE-M / NB-IoT)</w:t>
      </w:r>
    </w:p>
    <w:p>
      <w:pPr>
        <w:spacing w:after="24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Dokument-Nr. TT-LF-003-DE  ·  Ausgabe April 2026  ·  Aquatos Web LTX</w:t>
      </w:r>
    </w:p>
    <w:p>
      <w:pPr>
        <w:spacing w:after="120" w:line="3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Dieser Leitfaden hilft Ihnen, eine fehlgeschlagene oder ausbleibende Datenübertragung des Aquatos Web LTX zu Ihrem Server zu diagnostizieren. Die LTX-Logger nutzen LTE-M mit automatischem NB-IoT-Fallback.</w:t>
      </w:r>
    </w:p>
    <w:p>
      <w:pPr>
        <w:pBdr>
          <w:left w:val="single" w:color="0563C1" w:sz="18" w:space="8"/>
        </w:pBdr>
        <w:spacing w:after="120" w:before="80" w:line="300"/>
        <w:ind w:left="120"/>
      </w:pPr>
      <w:r>
        <w:rPr>
          <w:rFonts w:ascii="Arial" w:cs="Arial" w:eastAsia="Arial" w:hAnsi="Arial"/>
          <w:b/>
          <w:bCs/>
          <w:color w:val="0563C1"/>
          <w:sz w:val="22"/>
          <w:szCs w:val="22"/>
        </w:rPr>
        <w:t xml:space="preserve">Hinweis: </w:t>
      </w:r>
      <w:r>
        <w:rPr>
          <w:rFonts w:ascii="Arial" w:cs="Arial" w:eastAsia="Arial" w:hAnsi="Arial"/>
          <w:color w:val="2D3436"/>
          <w:sz w:val="22"/>
          <w:szCs w:val="22"/>
        </w:rPr>
        <w:t xml:space="preserve">Aquatos mini und Aquatos nano sind reine Offline-Logger ohne Modem. Eine Mobilfunk-Diagnose entfällt für diese Geräte. Die Datenauslesung erfolgt vor Ort per Bluetooth (siehe TT-LF-004).</w:t>
      </w:r>
    </w:p>
    <w:p>
      <w:pPr>
        <w:spacing w:after="120" w:before="0" w:line="20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80" w:hRule="atLeast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1. Modem aktiviert?</w:t>
            </w:r>
          </w:p>
        </w:tc>
      </w:tr>
    </w:tbl>
    <w:p>
      <w:pPr>
        <w:spacing w:after="60" w:before="0" w:line="20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Mit der BLX-App oder dem Sensormanager mit dem Logger verbinden.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Im Bereich „Parameter" → „Mobilfunk" prüfen, ob das Modem aktiviert ist.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Übertragungsintervall (z. B. einmal täglich, alle 15 Minuten) plausibel?</w:t>
      </w:r>
    </w:p>
    <w:p>
      <w:pPr>
        <w:spacing w:after="40" w:before="0" w:line="20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single" w:color="0563C1" w:sz="18" w:space="8"/>
        </w:pBdr>
        <w:spacing w:after="120" w:before="80" w:line="300"/>
        <w:ind w:left="120"/>
      </w:pPr>
      <w:r>
        <w:rPr>
          <w:rFonts w:ascii="Arial" w:cs="Arial" w:eastAsia="Arial" w:hAnsi="Arial"/>
          <w:b/>
          <w:bCs/>
          <w:color w:val="0563C1"/>
          <w:sz w:val="22"/>
          <w:szCs w:val="22"/>
        </w:rPr>
        <w:t xml:space="preserve">Hinweis: </w:t>
      </w:r>
      <w:r>
        <w:rPr>
          <w:rFonts w:ascii="Arial" w:cs="Arial" w:eastAsia="Arial" w:hAnsi="Arial"/>
          <w:color w:val="2D3436"/>
          <w:sz w:val="22"/>
          <w:szCs w:val="22"/>
        </w:rPr>
        <w:t xml:space="preserve">Erfolgt keine Übertragung trotz aktivem Modem, kommen alle weiteren Punkte (2 – 7) als Ursache in Frage. Bitte der Reihe nach abarbeiten.</w:t>
      </w:r>
    </w:p>
    <w:p>
      <w:pPr>
        <w:spacing w:after="160" w:before="0" w:line="20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80" w:hRule="atLeast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2. Antenne und Funkversorgung</w:t>
            </w:r>
          </w:p>
        </w:tc>
      </w:tr>
    </w:tbl>
    <w:p>
      <w:pPr>
        <w:spacing w:after="60" w:before="0" w:line="20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B7BBD"/>
          <w:sz w:val="24"/>
          <w:szCs w:val="24"/>
        </w:rPr>
        <w:t xml:space="preserve">2.1 Antennensteckverbindung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Antenne fest mit dem FME-Stecker am Logger verschraubt? (Nicht SMA — TerraTransfer-Standard ist FME.)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Kein Wassereintritt, keine Korrosion am Stecker?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Antennenkabel nicht geknickt, gequetscht oder unterbrochen?</w:t>
      </w:r>
    </w:p>
    <w:p>
      <w:pPr>
        <w:spacing w:after="40" w:before="0" w:line="20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B7BBD"/>
          <w:sz w:val="24"/>
          <w:szCs w:val="24"/>
        </w:rPr>
        <w:t xml:space="preserve">2.2 Antennentyp passend zum Standort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rPr>
          <w:tblHeader/>
          <w:trHeight w:val="360" w:hRule="atLeast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F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Antennen-Variante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F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Eigenschaften und Einsatzfall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Helical Klein (Ø 46 mm)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2 dBi, IP66, kompakt — für Schutzschacht oder kompakte Schutzgehäuse mit hinreichender LTE-M-Versorgung.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Helical Groß (85 mm PCB)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5 dBi, höhere Empfindlichkeit — bei mittlerer LTE-M-Abdeckung empfohlen.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Stabantenne (280 mm)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3 dBi, Außeneinsatz — wenn der Logger im Schacht steht, Antenne aber außerhalb montiert wird.</w:t>
            </w:r>
          </w:p>
        </w:tc>
      </w:tr>
    </w:tbl>
    <w:p>
      <w:pPr>
        <w:spacing w:after="60" w:before="0" w:line="20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B7BBD"/>
          <w:sz w:val="24"/>
          <w:szCs w:val="24"/>
        </w:rPr>
        <w:t xml:space="preserve">2.3 Empfangsqualität am Standort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Im Übertragungs-Log des LTX (BLX-App: „Letzte Übertragungen") wird der RSRP-Wert mitprotokolliert. Werte &gt; –100 dBm sind unkritisch, –110 bis –120 dBm grenzwertig, &lt; –120 dBm meist nicht mehr nutzbar.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Bei dauerhaft schwachem Empfang Antennen-Variante mit höherem Gewinn einsetzen oder Antennenposition verlegen (z. B. Schachtdeckel, oberhalb der Erdoberfläche).</w:t>
      </w:r>
    </w:p>
    <w:p>
      <w:pPr>
        <w:spacing w:after="160" w:before="0" w:line="20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80" w:hRule="atLeast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3. SIM-Karte</w:t>
            </w:r>
          </w:p>
        </w:tc>
      </w:tr>
    </w:tbl>
    <w:p>
      <w:pPr>
        <w:spacing w:after="60" w:before="0" w:line="20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SIM-Karte korrekt eingelegt und im richtigen Format (in der Regel Mini-SIM)?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SIM-Karte aktiviert und nicht abgelaufen?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PIN-Sperre der SIM ggf. deaktivieren oder den korrekten PIN in den LTX-Parametern hinterlegen.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Datentarif aktiv, ausreichend Datenvolumen / Guthaben? Bei IoT-Tarifen: nicht durch Inaktivität deaktiviert?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SIM nicht durch wiederholte PIN-Falscheingaben gesperrt?</w:t>
      </w:r>
    </w:p>
    <w:p>
      <w:pPr>
        <w:spacing w:after="40" w:before="0" w:line="20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single" w:color="0563C1" w:sz="18" w:space="8"/>
        </w:pBdr>
        <w:spacing w:after="120" w:before="80" w:line="300"/>
        <w:ind w:left="120"/>
      </w:pPr>
      <w:r>
        <w:rPr>
          <w:rFonts w:ascii="Arial" w:cs="Arial" w:eastAsia="Arial" w:hAnsi="Arial"/>
          <w:b/>
          <w:bCs/>
          <w:color w:val="0563C1"/>
          <w:sz w:val="22"/>
          <w:szCs w:val="22"/>
        </w:rPr>
        <w:t xml:space="preserve">Hinweis: </w:t>
      </w:r>
      <w:r>
        <w:rPr>
          <w:rFonts w:ascii="Arial" w:cs="Arial" w:eastAsia="Arial" w:hAnsi="Arial"/>
          <w:color w:val="2D3436"/>
          <w:sz w:val="22"/>
          <w:szCs w:val="22"/>
        </w:rPr>
        <w:t xml:space="preserve">Eine schnelle Plausibilitätsprüfung der SIM: Karte vorübergehend in ein einfaches Mobiltelefon stecken und dort prüfen, ob sich das Gerät einbucht.</w:t>
      </w:r>
    </w:p>
    <w:p>
      <w:pPr>
        <w:spacing w:after="160" w:before="0" w:line="20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80" w:hRule="atLeast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4. APN und Server-Parameter</w:t>
            </w:r>
          </w:p>
        </w:tc>
      </w:tr>
    </w:tbl>
    <w:p>
      <w:pPr>
        <w:spacing w:after="60" w:before="0" w:line="20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120" w:line="3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In der BLX-App im Bereich „Mobilfunk" und „Übertragung" prüfen: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B7BBD"/>
          <w:sz w:val="24"/>
          <w:szCs w:val="24"/>
        </w:rPr>
        <w:t xml:space="preserve">4.1 Mobilfunk-Parameter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APN des Mobilfunkanbieters korrekt? (Bei IoT-Tarifen meist anbieterspezifisch.)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Falls vom Anbieter gefordert: APN-Benutzername und APN-Passwort eingetragen?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Keine versteckten Leerzeichen am Anfang oder Ende der Eingabe?</w:t>
      </w:r>
    </w:p>
    <w:p>
      <w:pPr>
        <w:spacing w:after="40" w:before="0" w:line="20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B7BBD"/>
          <w:sz w:val="24"/>
          <w:szCs w:val="24"/>
        </w:rPr>
        <w:t xml:space="preserve">4.2 Übertragungs-Parameter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Server-Adresse (Hostname oder IP) korrekt eingetragen?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Pfad / Skript-Endpunkt vollständig (z. B. /upload/aquatos.php)?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Bei FTP-/FTPS-Versand: korrekter Login, korrekter Zielordner, FTP-Modus passend (Passiv bei Firewall-Konstellationen)?</w:t>
      </w:r>
    </w:p>
    <w:p>
      <w:pPr>
        <w:pBdr>
          <w:left w:val="single" w:color="C0392B" w:sz="18" w:space="8"/>
        </w:pBdr>
        <w:spacing w:after="120" w:before="80" w:line="300"/>
        <w:ind w:left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Achtung: </w:t>
      </w:r>
      <w:r>
        <w:rPr>
          <w:rFonts w:ascii="Arial" w:cs="Arial" w:eastAsia="Arial" w:hAnsi="Arial"/>
          <w:color w:val="2D3436"/>
          <w:sz w:val="22"/>
          <w:szCs w:val="22"/>
        </w:rPr>
        <w:t xml:space="preserve">Messstellen-Name darf keine Umlaute oder Sonderzeichen (ä, ö, ü, ß, /, # …) enthalten. Sonderzeichen führen je nach Server zu fehlgeschlagenen Uploads. ASCII-Schreibweise verwenden.</w:t>
      </w:r>
    </w:p>
    <w:p>
      <w:pPr>
        <w:spacing w:after="160" w:before="0" w:line="20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80" w:hRule="atLeast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5. Energieversorgung</w:t>
            </w:r>
          </w:p>
        </w:tc>
      </w:tr>
    </w:tbl>
    <w:p>
      <w:pPr>
        <w:spacing w:after="60" w:before="0" w:line="20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Beim Aquatos Web LTX werden 2 × LSH20-Lithium-Batterien eingesetzt. Über die BLX-App lässt sich die aktuelle Spannung anzeigen.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Sinkt die Spannung dauerhaft unter etwa 2,5 V, scheitern Übertragungen — vor allem bei niedrigen Temperaturen oder schwachem Empfang.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Empfehlung: Batterien tauschen, wenn die Spannung unter 3,0 V fällt oder das Logbuch wiederholte Übertragungsfehler zeigt.</w:t>
      </w:r>
    </w:p>
    <w:p>
      <w:pPr>
        <w:pBdr>
          <w:left w:val="single" w:color="0563C1" w:sz="18" w:space="8"/>
        </w:pBdr>
        <w:spacing w:after="120" w:before="80" w:line="300"/>
        <w:ind w:left="120"/>
      </w:pPr>
      <w:r>
        <w:rPr>
          <w:rFonts w:ascii="Arial" w:cs="Arial" w:eastAsia="Arial" w:hAnsi="Arial"/>
          <w:b/>
          <w:bCs/>
          <w:color w:val="0563C1"/>
          <w:sz w:val="22"/>
          <w:szCs w:val="22"/>
        </w:rPr>
        <w:t xml:space="preserve">Hinweis: </w:t>
      </w:r>
      <w:r>
        <w:rPr>
          <w:rFonts w:ascii="Arial" w:cs="Arial" w:eastAsia="Arial" w:hAnsi="Arial"/>
          <w:color w:val="2D3436"/>
          <w:sz w:val="22"/>
          <w:szCs w:val="22"/>
        </w:rPr>
        <w:t xml:space="preserve">Batterien werden erst am Einsatzort eingelegt: Fach aufschrauben → Hülse abziehen → Batterien einlegen → Logger startet. Bitte beachten Sie die Polarität.</w:t>
      </w:r>
    </w:p>
    <w:p>
      <w:pPr>
        <w:spacing w:after="160" w:before="0" w:line="20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80" w:hRule="atLeast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6. Manueller Übertragungstest und Logfile</w:t>
            </w:r>
          </w:p>
        </w:tc>
      </w:tr>
    </w:tbl>
    <w:p>
      <w:pPr>
        <w:spacing w:after="60" w:before="0" w:line="20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In der BLX-App den Befehl „Übertragung jetzt starten" auslösen.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Der LTX führt die komplette Sequenz (Modem-Einbuchen, APN, Datenupload, Quittung) protokolliert durch.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Nach dem Test das vollständige Logfile speichern (Funktion „Letztes Log exportieren") und an unseren Service senden.</w:t>
      </w:r>
    </w:p>
    <w:p>
      <w:pPr>
        <w:spacing w:after="40" w:before="0" w:line="20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single" w:color="0563C1" w:sz="18" w:space="8"/>
        </w:pBdr>
        <w:spacing w:after="120" w:before="80" w:line="300"/>
        <w:ind w:left="120"/>
      </w:pPr>
      <w:r>
        <w:rPr>
          <w:rFonts w:ascii="Arial" w:cs="Arial" w:eastAsia="Arial" w:hAnsi="Arial"/>
          <w:b/>
          <w:bCs/>
          <w:color w:val="0563C1"/>
          <w:sz w:val="22"/>
          <w:szCs w:val="22"/>
        </w:rPr>
        <w:t xml:space="preserve">Hinweis: </w:t>
      </w:r>
      <w:r>
        <w:rPr>
          <w:rFonts w:ascii="Arial" w:cs="Arial" w:eastAsia="Arial" w:hAnsi="Arial"/>
          <w:color w:val="2D3436"/>
          <w:sz w:val="22"/>
          <w:szCs w:val="22"/>
        </w:rPr>
        <w:t xml:space="preserve">Das Logfile enthält die Roh-AT-Antworten des Modems. Damit lässt sich beurteilen, an welcher Stelle die Übertragung scheitert (Netz / DNS / TCP / Server-Antwort).</w:t>
      </w:r>
    </w:p>
    <w:p>
      <w:pPr>
        <w:spacing w:after="160" w:before="0" w:line="20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80" w:hRule="atLeast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7. Diagnose-Schnellübersicht</w:t>
            </w:r>
          </w:p>
        </w:tc>
      </w:tr>
    </w:tbl>
    <w:p>
      <w:pPr>
        <w:spacing w:after="60" w:before="0" w:line="20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26"/>
      </w:tblGrid>
      <w:tr>
        <w:trPr>
          <w:tblHeader/>
          <w:trHeight w:val="360" w:hRule="atLeast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F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Symptom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F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Wahrscheinliche Ursache und nächste Schritte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Modem bucht sich nicht ein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Antenne, SIM-Karte, PIN, Datentarif → Punkt 2 + 3.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Modem ist eingebucht, kein Upload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APN-Daten, Server-Adresse → Punkt 4.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Sporadische Übertragungsfehler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Empfangsqualität (RSRP) oder Batteriespannung knapp → Punkt 2.3 + 5.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Server lehnt Datei ab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Sonderzeichen im Messstellenname; falsches Skript / Pfad → Punkt 4.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Komplett ohne Verbindung trotz aller Punkte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Logfile exportieren und an Service senden → Punkt 6.</w:t>
            </w:r>
          </w:p>
        </w:tc>
      </w:tr>
    </w:tbl>
    <w:p>
      <w:pPr>
        <w:spacing w:after="180" w:before="0" w:line="20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top w:val="single" w:color="2E74B5" w:sz="4"/>
        </w:pBdr>
        <w:spacing w:after="0" w:before="8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Service · </w:t>
      </w:r>
      <w:r>
        <w:rPr>
          <w:rFonts w:ascii="Arial" w:cs="Arial" w:eastAsia="Arial" w:hAnsi="Arial"/>
          <w:color w:val="2D3436"/>
          <w:sz w:val="20"/>
          <w:szCs w:val="20"/>
        </w:rPr>
        <w:t xml:space="preserve">+49 2327 83 44 85-1  ·  service@terratransfer.de  ·  www.terratransfer.de</w:t>
      </w:r>
    </w:p>
    <w:sectPr>
      <w:headerReference w:type="default" r:id="rId7"/>
      <w:footerReference w:type="default" r:id="rId8"/>
      <w:pgSz w:w="11906" w:h="16838" w:orient="portrait"/>
      <w:pgMar w:top="1800" w:right="1440" w:bottom="18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4B5" w:sz="6" w:space="1"/>
      </w:pBdr>
    </w:pPr>
    <w:r>
      <w:rPr>
        <w:rFonts w:ascii="Arial" w:cs="Arial" w:eastAsia="Arial" w:hAnsi="Arial"/>
        <w:sz w:val="4"/>
        <w:szCs w:val="4"/>
      </w:rPr>
      <w:t xml:space="preserve"/>
    </w:r>
  </w:p>
  <w:p>
    <w:pPr>
      <w:tabs>
        <w:tab w:val="right" w:pos="9026"/>
      </w:tabs>
    </w:pPr>
    <w:r>
      <w:rPr>
        <w:rFonts w:ascii="Arial" w:cs="Arial" w:eastAsia="Arial" w:hAnsi="Arial"/>
        <w:color w:val="777777"/>
        <w:sz w:val="18"/>
        <w:szCs w:val="18"/>
      </w:rPr>
      <w:t xml:space="preserve">© 2026 TerraTransfer GmbH</w:t>
    </w:r>
    <w:r>
      <w:rPr>
        <w:rFonts w:ascii="Arial" w:cs="Arial" w:eastAsia="Arial" w:hAnsi="Arial"/>
        <w:color w:val="777777"/>
        <w:sz w:val="18"/>
        <w:szCs w:val="18"/>
      </w:rPr>
      <w:t xml:space="preserve">	Seite </w:t>
    </w:r>
    <w:r>
      <w:rPr>
        <w:rFonts w:ascii="Arial" w:cs="Arial" w:eastAsia="Arial" w:hAnsi="Arial"/>
        <w:b/>
        <w:bCs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8"/>
        <w:szCs w:val="18"/>
      </w:rPr>
      <w:t xml:space="preserve"> /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  <w:jc w:val="left"/>
    </w:pPr>
    <w:r>
      <w:drawing>
        <wp:inline distT="0" distB="0" distL="0" distR="0">
          <wp:extent cx="1600200" cy="219075"/>
          <wp:effectExtent t="0" r="0" b="0" l="0"/>
          <wp:docPr id="1" name="logo" descr="Logo" title="TerraTransf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0200" cy="219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color w:val="2E74B5"/>
        <w:sz w:val="18"/>
        <w:szCs w:val="18"/>
      </w:rPr>
      <w:t xml:space="preserve">	Service-Leitfaden Mobilfunk · TT-LF-003</w:t>
    </w:r>
  </w:p>
  <w:p>
    <w:pPr>
      <w:pBdr>
        <w:bottom w:val="single" w:color="2E74B5" w:sz="6" w:space="1"/>
      </w:pBdr>
    </w:pPr>
    <w:r>
      <w:rPr>
        <w:rFonts w:ascii="Arial" w:cs="Arial" w:eastAsia="Arial" w:hAnsi="Arial"/>
        <w:sz w:val="4"/>
        <w:szCs w:val="4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343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0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B7BB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9c23a2db987526d120994f37fd6845b9549f5e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TerraTransfer Service-Leitfaden — Mobilfunk-Übertragung</dc:title>
  <dc:creator>TerraTransfer GmbH</dc:creator>
  <dc:description>Diagnose-Leitfaden für die LTE-M / NB-IoT-Datenübertragung des Aquatos Web LTX</dc:description>
  <cp:lastModifiedBy>Un-named</cp:lastModifiedBy>
  <cp:revision>1</cp:revision>
  <dcterms:created xsi:type="dcterms:W3CDTF">2026-04-28T08:50:49.509Z</dcterms:created>
  <dcterms:modified xsi:type="dcterms:W3CDTF">2026-04-28T08:50:49.509Z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