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/>
          <w:b/>
          <w:i w:val="0"/>
          <w:color w:val="0C8F86"/>
          <w:sz w:val="22"/>
        </w:rPr>
        <w:t>TRAINIT</w:t>
      </w:r>
    </w:p>
    <w:p>
      <w:pPr>
        <w:spacing w:before="0" w:after="140"/>
      </w:pPr>
      <w:r>
        <w:rPr>
          <w:rFonts w:ascii="Calibri" w:hAnsi="Calibri"/>
          <w:b/>
          <w:i w:val="0"/>
          <w:color w:val="102238"/>
          <w:sz w:val="48"/>
        </w:rPr>
        <w:t>Product and System Requirements Specification</w:t>
      </w:r>
    </w:p>
    <w:p>
      <w:pPr>
        <w:spacing w:after="360"/>
      </w:pPr>
      <w:r>
        <w:rPr>
          <w:rFonts w:ascii="Calibri" w:hAnsi="Calibri"/>
          <w:b w:val="0"/>
          <w:i w:val="0"/>
          <w:color w:val="657386"/>
          <w:sz w:val="26"/>
        </w:rPr>
        <w:t>Client requests, distributed service delivery, time capture, billing and manual payment recording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238"/>
                <w:sz w:val="19"/>
              </w:rPr>
              <w:t>Document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238"/>
                <w:sz w:val="19"/>
              </w:rPr>
              <w:t>TRN-SRS-001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238"/>
                <w:sz w:val="19"/>
              </w:rPr>
              <w:t>Version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238"/>
                <w:sz w:val="19"/>
              </w:rPr>
              <w:t>0.1 - Draft for review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238"/>
                <w:sz w:val="19"/>
              </w:rPr>
              <w:t>Prepared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238"/>
                <w:sz w:val="19"/>
              </w:rPr>
              <w:t>14 August 2026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238"/>
                <w:sz w:val="19"/>
              </w:rPr>
              <w:t>Purpose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238"/>
                <w:sz w:val="19"/>
              </w:rPr>
              <w:t>Define the business rules and testable requirements for the first production release and its planned extensions.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238"/>
                <w:sz w:val="19"/>
              </w:rPr>
              <w:t>Execution status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238"/>
                <w:sz w:val="19"/>
              </w:rPr>
              <w:t>Design only - no migration, import, generator, database, or deployment command has been run</w:t>
            </w:r>
          </w:p>
        </w:tc>
      </w:tr>
    </w:tbl>
    <w:p>
      <w:pPr>
        <w:spacing w:before="280" w:after="0"/>
        <w:shd w:fill="E7F5F3"/>
      </w:pPr>
      <w:r>
        <w:rPr>
          <w:rFonts w:ascii="Calibri" w:hAnsi="Calibri"/>
          <w:b/>
          <w:i w:val="0"/>
          <w:color w:val="0C8F86"/>
          <w:sz w:val="20"/>
        </w:rPr>
        <w:t xml:space="preserve">DESIGN PRINCIPLE  </w:t>
      </w:r>
      <w:r>
        <w:rPr>
          <w:rFonts w:ascii="Calibri" w:hAnsi="Calibri"/>
          <w:b w:val="0"/>
          <w:i w:val="0"/>
          <w:color w:val="102238"/>
          <w:sz w:val="20"/>
        </w:rPr>
        <w:t>One public identity, one shared registration path, controlled role elevation, request-centred collaboration, auditable time, and explainable billing.</w:t>
      </w:r>
    </w:p>
    <w:p>
      <w:pPr>
        <w:pStyle w:val="Heading1"/>
      </w:pPr>
      <w:r>
        <w:t>1. Executive summary</w:t>
      </w:r>
    </w:p>
    <w:p>
      <w:r>
        <w:rPr>
          <w:rFonts w:ascii="Calibri" w:hAnsi="Calibri"/>
          <w:b w:val="0"/>
          <w:i w:val="0"/>
          <w:color w:val="102238"/>
          <w:sz w:val="22"/>
        </w:rPr>
        <w:t>Trainit will evolve from a public informational website into a secure multi-party service portal. Any person may create the same basic account. A registered user may then apply for a Client, Associate, or Apprentice account. Trainit staff vet special-account applications, approve organisations and professionals, configure service plans, assign client requests, approve time, issue invoices, and record payments received outside the portal.</w:t>
      </w:r>
    </w:p>
    <w:p>
      <w:r>
        <w:rPr>
          <w:rFonts w:ascii="Calibri" w:hAnsi="Calibri"/>
          <w:b w:val="0"/>
          <w:i w:val="0"/>
          <w:color w:val="102238"/>
          <w:sz w:val="22"/>
        </w:rPr>
        <w:t>The system is centred on the client service request. Every assignment, shared message, attachment, time entry, billing-period calculation, invoice line, payment and audit event must be traceable back to the relevant client, service and request.</w:t>
      </w:r>
    </w:p>
    <w:p>
      <w:pPr>
        <w:pStyle w:val="Heading1"/>
      </w:pPr>
      <w:r>
        <w:t>2. Goals and success measures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Give clients one reliable place to submit, clarify and track HR, Finance, IT and Marketing work.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Create a controlled pipeline for vetting Associates and Apprentices without giving elevated access at self-registration.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Assign work according to service, expertise, seniority, availability, risk and budget.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Capture defensible billable hours even though the work itself is completed outside the portal.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Produce transparent monthly invoices from fixed service charges plus eligible excess usage.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Record externally received payments with evidence, approval and a complete audit trail.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Reduce missed hand-offs through in-app and email notifications, reminders and escalation queues.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650"/>
        <w:gridCol w:w="5110"/>
      </w:tblGrid>
      <w:tr>
        <w:trPr>
          <w:tblHeader w:val="true"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02238"/>
                <w:sz w:val="17"/>
              </w:rPr>
              <w:t>Measure</w:t>
            </w:r>
          </w:p>
        </w:tc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02238"/>
                <w:sz w:val="17"/>
              </w:rPr>
              <w:t>MVP target</w:t>
            </w:r>
          </w:p>
        </w:tc>
        <w:tc>
          <w:tcPr>
            <w:tcW w:type="dxa" w:w="51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02238"/>
                <w:sz w:val="17"/>
              </w:rPr>
              <w:t>How measured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7"/>
              </w:rPr>
              <w:t>Request acknowledgement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7"/>
              </w:rPr>
              <w:t>100%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7"/>
              </w:rPr>
              <w:t>Every submitted request receives an ID, timeline event and notification.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7"/>
              </w:rPr>
              <w:t>Assignment traceability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7"/>
              </w:rPr>
              <w:t>100%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7"/>
              </w:rPr>
              <w:t>Each active assignment identifies assignee, assigner, rate snapshot and due date.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7"/>
              </w:rPr>
              <w:t>Time-to-invoice integrity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7"/>
              </w:rPr>
              <w:t>100%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7"/>
              </w:rPr>
              <w:t>Invoiceable hours are approved, unlocked, and linked to invoice lines.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7"/>
              </w:rPr>
              <w:t>Billing explainability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7"/>
              </w:rPr>
              <w:t>100%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7"/>
              </w:rPr>
              <w:t>Monthly fee, included hours, excess hours, tier rates, taxes and payments are visible.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7"/>
              </w:rPr>
              <w:t>Payment auditability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7"/>
              </w:rPr>
              <w:t>100%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7"/>
              </w:rPr>
              <w:t>Manual payments record reference, method, amount, currency, receiver and evidence.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7"/>
              </w:rPr>
              <w:t>Notification accountability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7"/>
              </w:rPr>
              <w:t>&gt;= 99% queued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7"/>
              </w:rPr>
              <w:t>Each delivery attempt has a status and retry history.</w:t>
            </w:r>
          </w:p>
        </w:tc>
      </w:tr>
    </w:tbl>
    <w:p>
      <w:pPr>
        <w:spacing w:after="20"/>
      </w:pPr>
    </w:p>
    <w:p>
      <w:pPr>
        <w:pStyle w:val="Heading1"/>
      </w:pPr>
      <w:r>
        <w:t>3. Users, roles and account lifecycle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600"/>
        <w:gridCol w:w="4310"/>
      </w:tblGrid>
      <w:tr>
        <w:trPr>
          <w:tblHeader w:val="true"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02238"/>
                <w:sz w:val="16"/>
              </w:rPr>
              <w:t>Role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02238"/>
                <w:sz w:val="16"/>
              </w:rPr>
              <w:t>Purpose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02238"/>
                <w:sz w:val="16"/>
              </w:rPr>
              <w:t>Key boundaries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Registered User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Default role after common registration.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May manage own profile and submit a special-account application; has no client or workforce access.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Client User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Authorised member of an approved client organisation.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May see only organisations and requests granted through membership.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Associate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Vetted independent professional/affiliate.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May see only assigned work, shared discussion and own time/billing summaries.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Apprentice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Vetted developing professional working under closer supervision.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Same assignment scope as Associate, with configured approval/supervision rules.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Service Manager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Owns triage, assignment, SLA, quality and time approval.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No payment confirmation unless separately authorised.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Billing Officer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Owns billing runs, invoice issue, payment recording and reconciliation.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Cannot edit approved time; corrections use controlled reversal/credit workflows.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Vetting Officer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Reviews professional and client applications.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Sensitive vetting evidence is limited to authorised staff.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Administrator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Configures services, roles, policies, templates and oversight.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All privileged actions are audited; no silent impersonation.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 w:val="0"/>
          <w:i w:val="0"/>
          <w:color w:val="102238"/>
          <w:sz w:val="22"/>
        </w:rPr>
        <w:t>Role model decision: the current master framework stores one primary role on user. The MVP may retain that primary role, but the design should add capability grants or a user-role assignment table before one person needs multiple operational roles. Administrator override must be explicit and logged.</w:t>
      </w:r>
    </w:p>
    <w:p>
      <w:pPr>
        <w:pStyle w:val="Heading1"/>
      </w:pPr>
      <w:r>
        <w:t>4. Scope</w:t>
      </w:r>
    </w:p>
    <w:p>
      <w:pPr>
        <w:pStyle w:val="Heading2"/>
      </w:pPr>
      <w:r>
        <w:t>4.1 MVP included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Public website migrated into the master PHP framework while preserving Trainit's blue/teal/ink visual identity and public content.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Common registration, authentication, password reset, session protection and account status management.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Special-account applications for Client, Associate and Apprentice roles, with documents, qualifications, experience, expertise, declarations and review decisions.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Expandable service catalogue seeded with HR, Finance, IT and Marketing; service offerings, expertise tags and pricing versions.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Client organisations, members, contacts, service subscriptions, service managers and billing owners.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Request intake, triage, priority/SLA, assignments, status history, shared conversation, internal notes and attachments.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Time entry submission, validation, manager approval/rejection, locking and corrections.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Monthly billing periods, fixed monthly charge, included hours, excess-hour calculation, draft/approved/issued invoices and PDF/email delivery.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Manual payment recording, evidence, allocation, reversal and balance updates. No payment gateway settlement in MVP.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In-app notifications plus email; preferences, reminders, retries and delivery history.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Role-aware dashboards, search, operational reports, audit trail, exports, backups and data-retention controls.</w:t>
      </w:r>
    </w:p>
    <w:p>
      <w:pPr>
        <w:pStyle w:val="Heading2"/>
      </w:pPr>
      <w:r>
        <w:t>4.2 Deferred but designed for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Online card/mobile-money payment initiation, gateway callbacks, refunds and automatic reconciliation.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Payroll, Associate/Apprentice payouts, commissions and statutory withholding.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Work execution inside the portal, live co-editing, video meetings or full project-management scheduling.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Automated qualification checks with external registries and background-check providers.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Multi-currency revaluation, advanced tax engines and full general-ledger accounting.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Native mobile apps; the responsive web portal remains the first delivery surface.</w:t>
      </w:r>
    </w:p>
    <w:p>
      <w:pPr>
        <w:pStyle w:val="Heading1"/>
      </w:pPr>
      <w:r>
        <w:t>5. Functional requirements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450"/>
        <w:gridCol w:w="6860"/>
      </w:tblGrid>
      <w:tr>
        <w:trPr>
          <w:tblHeader w:val="true"/>
        </w:trPr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02238"/>
                <w:sz w:val="15"/>
              </w:rPr>
              <w:t>ID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02238"/>
                <w:sz w:val="15"/>
              </w:rPr>
              <w:t>Area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02238"/>
                <w:sz w:val="15"/>
              </w:rPr>
              <w:t>Requirement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ACC-01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Registration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All public users register through one form with name, verified email, password, consent and anti-automation controls.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ACC-02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Registration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Self-registration always creates the least-privileged Registered User role; posted role values are ignored.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ACC-03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Identity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Email verification, password reset, failed-login lockout, session expiry and account deactivation are supported.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APP-01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Applications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 registered user can start, save, submit and withdraw one active special-account application per requested account type.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APP-02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Applications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Professional applications capture requested level, biography, contact details, qualifications, experience, expertise, capacity, availability, references, declarations and documents.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APP-03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Applications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Client applications capture legal/trading identity, registration/tax data where applicable, contacts, industry, organisation description, requested services and supporting documents.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APP-04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Vetting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Reviewers can request changes, add private notes, approve, reject, suspend or expire an application; every transition records actor, time and reason.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APP-05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Vetting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Approval promotes/associates the correct portal role and creates the approved professional profile or client organisation without duplicating the user.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SRV-01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Catalogue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Administrators maintain expandable service categories, offerings, expertise mappings, required skill levels, SLAs and active dates.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SRV-02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Pricing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Hourly rates are versioned by service offering and worker level; existing assignments retain their agreed rate snapshot.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CLI-01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Clients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An organisation supports multiple users with primary, requester, approver, billing-contact and read-only membership roles.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CLI-02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Plans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Each subscribed service stores monthly fee, included hours, currency, billing cycle, effective dates, rate rules, service manager and billing owner.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REQ-01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Requests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Authorised client users create a request under an active subscribed service with title, description, desired date, priority, attachments and client reference.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REQ-02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Requests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The portal gives each request a unique human-readable number and immutable status timeline.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REQ-03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Triage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 Service Manager validates scope, service, priority, SLA, confidentiality, required expertise, estimated hours and assignment level before work starts.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ASN-01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Assignment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 request can have one or more assignments, one lead, and optionally a supervising Associate for an Apprentice.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ASN-02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Assignment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Assignment suggestions may use expertise, vetting status, availability, workload, geography/time zone and pricing, but a manager confirms the decision.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ASN-03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Assignment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An assignee accepts/declines with a reason; reassignment never erases prior assignment history.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COM-01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Communication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Each request has a shared thread visible to authorised client and Trainit participants, plus clearly separated internal-only notes.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COM-02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Communication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Messages support attachments, mentions, reply context, edit window, redaction by policy and immutable audit metadata.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COM-03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Communication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Email replies must not silently create messages unless sender, token and request membership are validated.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TIM-01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Time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Assignees log work date, duration, narrative, billable flag and assignment; entries cannot overlap or exceed configured daily limits without warning.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TIM-02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Time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Time moves Draft -&gt; Submitted -&gt; Approved/Rejected -&gt; Locked/Invoiced; only authorised actors can perform each transition.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TIM-03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Time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Approved time cannot be directly edited after billing cut-off; corrections use an adjustment that preserves the original.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BIL-01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Billing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For each active client service and period, the system produces the fixed monthly charge and calculates eligible excess usage above included hours.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BIL-02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Billing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Included hours are consumed chronologically across approved billable entries for that client service; excess portions use the time entry's assignment-level rate snapshot unless the contract overrides this policy.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BIL-03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Billing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Invoice lines snapshot description, quantity, unit rate, tax, currency and source references so later price changes do not rewrite history.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BIL-04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Billing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 draft bill requires validation and approval before issue; issue locks source usage and assigns a unique invoice number.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BIL-05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Billing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Disputes, write-offs and reductions use documented adjustments/credit notes rather than deleting issued invoices.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PAY-01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Payments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 Billing Officer records external payment date, method, payer reference, internal reference, amount, currency, evidence, receiver and notes.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PAY-02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Payments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Payments may be allocated across invoices; duplicate references/amount/date combinations trigger a warning and confirmation.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PAY-03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Payments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Payment reversal requires reason and authorisation; the original record remains visible.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NOT-01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Notifications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Events generate in-app notifications and policy-based email; recipient preferences cannot suppress mandatory security or billing notices.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NOT-02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Notifications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The system records queued, sent, delivered, failed, read and acknowledged states where supported.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RPT-01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Reporting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Dashboards show request aging, SLA risk, unassigned work, submitted time, included-hours consumption, draft bills, receivables and payment exceptions by permission.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AUD-01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Audit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Privileged and financial mutations record actor, timestamp, entity, before/after summary, IP and correlation ID.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EXP-01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Export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Authorised users can export scoped requests, time, invoices and payments to CSV/PDF without exposing internal-only notes or vetting evidence.</w:t>
            </w:r>
          </w:p>
        </w:tc>
      </w:tr>
    </w:tbl>
    <w:p>
      <w:pPr>
        <w:spacing w:after="20"/>
      </w:pPr>
    </w:p>
    <w:p>
      <w:pPr>
        <w:pStyle w:val="Heading1"/>
      </w:pPr>
      <w:r>
        <w:t>6. Billing rules</w:t>
      </w:r>
    </w:p>
    <w:p>
      <w:r>
        <w:rPr>
          <w:rFonts w:ascii="Calibri" w:hAnsi="Calibri"/>
          <w:b w:val="0"/>
          <w:i w:val="0"/>
          <w:color w:val="102238"/>
          <w:sz w:val="22"/>
        </w:rPr>
        <w:t>Recommended MVP formula: Invoice total = monthly fixed charge + sum(excess billable hours x applicable tier rate) + tax/levies - credits. Included usage is calculated per client service subscription and billing period, never across unrelated services unless a signed contract explicitly creates a pooled plan.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Only Approved, Billable and uninvoiced time inside the billing period is eligible.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Included hours are consumed by work date, then submission timestamp, then time-entry ID for deterministic reruns.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If one entry crosses the threshold, split it into included and excess portions without altering the employee's original time entry.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Hourly price is snapshotted at assignment acceptance (or explicit change approval), not looked up from the current catalogue during invoicing.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Monthly fees are prorated only if the client contract says so; the default MVP rule is no automatic proration.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Taxes, rounding precision, invoice numbering, due days and currency are organisation-configurable and must be decided before production billing.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An Apprentice's hours may require supervising Associate approval before Service Manager approval if the service policy requires it.</w:t>
      </w:r>
    </w:p>
    <w:p>
      <w:pPr>
        <w:pStyle w:val="Heading1"/>
      </w:pPr>
      <w:r>
        <w:t>7. Communication and notification requirements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700"/>
        <w:gridCol w:w="1900"/>
        <w:gridCol w:w="271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02238"/>
                <w:sz w:val="15"/>
              </w:rPr>
              <w:t>Event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02238"/>
                <w:sz w:val="15"/>
              </w:rPr>
              <w:t>Primary recipients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02238"/>
                <w:sz w:val="15"/>
              </w:rPr>
              <w:t>Default channels</w:t>
            </w:r>
          </w:p>
        </w:tc>
        <w:tc>
          <w:tcPr>
            <w:tcW w:type="dxa" w:w="27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02238"/>
                <w:sz w:val="15"/>
              </w:rPr>
              <w:t>Escalation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Special application submitted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Vetting queue + applicant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In-app, email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Reminder after configured review target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New client request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Service manager, requester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In-app, email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Escalate if untriaged near response SLA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Assignment offered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Assignee, manager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In-app, email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Reminder then reassign queue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New shared message/mention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Request participants/mentioned users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In-app; email digest or immediate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Unread reminder for critical messages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Time submitted/rejected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Approver/assignee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In-app, email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Billing-cut-off reminder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Included-hours threshold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Client approver, service manager, billing owner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In-app, email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50%, 80%, 100%, and contract-defined thresholds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Invoice issued/due/overdue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Billing contacts, billing owner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In-app, email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Due-date and aging schedule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Payment recorded/reversed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Billing contacts, billing owner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In-app, email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Exception queue if unmatched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Security/account event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Affected user + administrator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Email and in-app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Mandatory; preferences cannot disable</w:t>
            </w:r>
          </w:p>
        </w:tc>
      </w:tr>
    </w:tbl>
    <w:p>
      <w:pPr>
        <w:spacing w:after="20"/>
      </w:pPr>
    </w:p>
    <w:p>
      <w:pPr>
        <w:pStyle w:val="Heading1"/>
      </w:pPr>
      <w:r>
        <w:t>8. Non-functional requirements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02238"/>
                <w:sz w:val="16"/>
              </w:rPr>
              <w:t>Quality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02238"/>
                <w:sz w:val="16"/>
              </w:rPr>
              <w:t>Requirement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Security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Least privilege, CSRF protection, output encoding, prepared SQL, secure cookies, password hashing, signed file URLs, MIME scanning, rate limiting and secrets outside source control.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Privacy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Separate shared messages from internal notes; restrict vetting documents; provide retention, redaction, export and deletion workflows consistent with applicable law/contracts.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Integrity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SQLite foreign keys ON, transactions for multi-record financial actions, unique business numbers, idempotent billing runs and immutable issued documents.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Availability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Documented backup, restore and recovery targets; health checks; graceful email retry; portal remains usable if outbound email is unavailable.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Performance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Paginated lists; indexed organisation/status/date/assignment/billing keys; common dashboard views should render within two seconds under agreed MVP load.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Accessibility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Keyboard operation, visible focus, semantic headings/forms, labelled errors, adequate contrast and responsive layouts aligned to WCAG 2.2 AA where practicable.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Usability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Role dashboards prioritise next actions; status and billing language is plain; mobile time entry and request messaging are first-class.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Maintainability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Custom PHP MVC conventions, thin controllers, domain services for workflows/billing, central policies, migrations, automated tests and no business rules hidden only in JavaScript.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Observability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Structured application/error logs with correlation IDs, notification delivery outcomes, audit events and dashboards for failed jobs and billing exceptions.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Scalability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Use SQLite WAL for MVP; define measured thresholds and a migration path to PostgreSQL before concurrent writes or reporting load exceed SQLite's operational envelope.</w:t>
            </w:r>
          </w:p>
        </w:tc>
      </w:tr>
    </w:tbl>
    <w:p>
      <w:pPr>
        <w:spacing w:after="20"/>
      </w:pPr>
    </w:p>
    <w:p>
      <w:pPr>
        <w:pStyle w:val="Heading1"/>
      </w:pPr>
      <w:r>
        <w:t>9. Assumptions and decisions still required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Legal entity name, invoice address, tax treatment, supported currencies, fiscal invoice numbering and retention periods are TBD.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Actual monthly fees, included hours, Associate rates and Apprentice rates are intentionally not invented; pricing administrators will enter effective-dated values.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Confirm whether included hours are pooled across worker levels. This design recommends chronological pooling within one client service, with tier rate applied only to the excess portion.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Confirm who may approve time: supervising Associate, Service Manager, client approver, or a configured sequence. The model supports a policy-driven sequence.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Confirm whether clients must approve estimates before assignment or only receive notifications.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Confirm whether Associate/Apprentice compensation will ever be calculated from submitted time; it is explicitly outside the MVP billing scope.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Confirm data residency, vetting-document retention, file-size limits, supported evidence types and whether references may be contacted through the system.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Confirm SLA calendar rules, working hours, holidays, time zone and pause conditions while awaiting client input.</w:t>
      </w:r>
    </w:p>
    <w:p>
      <w:pPr>
        <w:pStyle w:val="Heading1"/>
      </w:pPr>
      <w:r>
        <w:t>10. Requirements approval checklist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Business owner confirms the MVP boundary and that professional payouts remain outside initial billing.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Finance owner confirms the included-hours allocation policy, pricing inputs, tax, rounding, due terms and invoice numbering.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Operations owner confirms the request, assignment, time-approval and escalation state transitions.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Vetting owner confirms application evidence, reviewer duties, expiry/suspension rules and retention periods.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Security/technical owner confirms role IDs, record-level access, private-file controls, audit scope and backup targets.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Product owner resolves or explicitly defers every TBD item before generator execution is authorised.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657386"/>
        <w:sz w:val="17"/>
      </w:rPr>
      <w:t xml:space="preserve">Trainit - Confidential draft  |  Page </w:t>
    </w:r>
    <w:r>
      <w:rPr>
        <w:rFonts w:ascii="Calibri" w:hAnsi="Calibri"/>
        <w:b w:val="0"/>
        <w:i w:val="0"/>
        <w:color w:val="657386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657386"/>
        <w:sz w:val="17"/>
      </w:rPr>
      <w:t>TRAINIT PORTAL DESIGN  |  SYSTEM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102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76BD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76B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0223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requirements</dc:title>
  <dc:subject>Trainit client service, workforce and billing portal design</dc:subject>
  <dc:creator>Trainit</dc:creator>
  <cp:keywords>Trainit, portal, PHP, SQLite, service requests, billing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